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272628" w:rsidR="00272628" w:rsidP="00641766" w:rsidRDefault="0ABFE4C9" w14:paraId="0B596F78" w14:textId="24096A47">
      <w:pPr>
        <w:spacing w:line="276" w:lineRule="auto"/>
        <w:jc w:val="center"/>
        <w:rPr>
          <w:rFonts w:eastAsiaTheme="minorEastAsia"/>
          <w:b/>
          <w:bCs/>
          <w:color w:val="2F5496" w:themeColor="accent1" w:themeShade="BF"/>
          <w:sz w:val="28"/>
          <w:szCs w:val="28"/>
        </w:rPr>
      </w:pPr>
      <w:r w:rsidRPr="4DA6DD73">
        <w:rPr>
          <w:rFonts w:eastAsiaTheme="minorEastAsia"/>
          <w:b/>
          <w:bCs/>
          <w:color w:val="2F5496" w:themeColor="accent1" w:themeShade="BF"/>
          <w:sz w:val="28"/>
          <w:szCs w:val="28"/>
        </w:rPr>
        <w:t>PRENATAL EXOMES</w:t>
      </w:r>
      <w:r w:rsidRPr="4DA6DD73" w:rsidR="74EEF635">
        <w:rPr>
          <w:rFonts w:eastAsiaTheme="minorEastAsia"/>
          <w:b/>
          <w:bCs/>
          <w:color w:val="2F5496" w:themeColor="accent1" w:themeShade="BF"/>
          <w:sz w:val="28"/>
          <w:szCs w:val="28"/>
        </w:rPr>
        <w:t xml:space="preserve"> TRAINING</w:t>
      </w:r>
      <w:r w:rsidRPr="4DA6DD73" w:rsidR="7307A389"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t xml:space="preserve"> </w:t>
      </w:r>
      <w:r w:rsidRPr="00272628" w:rsidR="00272628">
        <w:rPr>
          <w:rFonts w:eastAsiaTheme="minorEastAsia"/>
          <w:b/>
          <w:bCs/>
          <w:color w:val="2F5496" w:themeColor="accent1" w:themeShade="BF"/>
          <w:sz w:val="28"/>
          <w:szCs w:val="28"/>
        </w:rPr>
        <w:t>ACTIVITY</w:t>
      </w:r>
    </w:p>
    <w:p w:rsidR="000E19F7" w:rsidP="009F5A53" w:rsidRDefault="000E19F7" w14:paraId="672A6659" w14:textId="77777777">
      <w:pPr>
        <w:spacing w:line="276" w:lineRule="auto"/>
        <w:rPr>
          <w:rFonts w:ascii="Arial" w:hAnsi="Arial" w:cs="Arial"/>
        </w:rPr>
      </w:pPr>
    </w:p>
    <w:sdt>
      <w:sdtPr>
        <w:id w:val="1542230482"/>
        <w:docPartObj>
          <w:docPartGallery w:val="Table of Contents"/>
          <w:docPartUnique/>
        </w:docPartObj>
      </w:sdtPr>
      <w:sdtContent>
        <w:p w:rsidRPr="001C0696" w:rsidR="001C0696" w:rsidP="4DA6DD73" w:rsidRDefault="68343D76" w14:paraId="22E0FC93" w14:textId="77777777">
          <w:pPr>
            <w:pStyle w:val="Heading1"/>
            <w:rPr>
              <w:rFonts w:ascii="Arial" w:hAnsi="Arial" w:eastAsia="Arial" w:cs="Arial"/>
              <w:b w:val="0"/>
              <w:bCs w:val="0"/>
              <w:sz w:val="24"/>
              <w:szCs w:val="24"/>
            </w:rPr>
          </w:pPr>
          <w:bookmarkStart w:name="_Toc1924143437" w:id="1868844900"/>
          <w:r w:rsidR="68343D76">
            <w:rPr/>
            <w:t>Table of Contents</w:t>
          </w:r>
          <w:bookmarkEnd w:id="1868844900"/>
        </w:p>
        <w:p w:rsidRPr="00272628" w:rsidR="00272628" w:rsidP="7027B170" w:rsidRDefault="007F0846" w14:paraId="32ED1591" w14:textId="102727E3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924143437">
            <w:r w:rsidRPr="7027B170" w:rsidR="7027B170">
              <w:rPr>
                <w:rStyle w:val="Hyperlink"/>
              </w:rPr>
              <w:t>Table of Contents</w:t>
            </w:r>
            <w:r>
              <w:tab/>
            </w:r>
            <w:r>
              <w:fldChar w:fldCharType="begin"/>
            </w:r>
            <w:r>
              <w:instrText xml:space="preserve">PAGEREF _Toc1924143437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272628" w:rsidR="00272628" w:rsidP="7027B170" w:rsidRDefault="00272628" w14:paraId="4C6132E4" w14:textId="5136C90D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36524840">
            <w:r w:rsidRPr="7027B170" w:rsidR="7027B170">
              <w:rPr>
                <w:rStyle w:val="Hyperlink"/>
              </w:rPr>
              <w:t>1.</w:t>
            </w:r>
            <w:r>
              <w:tab/>
            </w:r>
            <w:r w:rsidRPr="7027B170" w:rsidR="7027B170">
              <w:rPr>
                <w:rStyle w:val="Hyperlink"/>
              </w:rPr>
              <w:t>Introduction and course aims:</w:t>
            </w:r>
            <w:r>
              <w:tab/>
            </w:r>
            <w:r>
              <w:fldChar w:fldCharType="begin"/>
            </w:r>
            <w:r>
              <w:instrText xml:space="preserve">PAGEREF _Toc236524840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272628" w:rsidR="00272628" w:rsidP="7027B170" w:rsidRDefault="00272628" w14:paraId="47EA3F27" w14:textId="0EF3A1A5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729703722">
            <w:r w:rsidRPr="7027B170" w:rsidR="7027B170">
              <w:rPr>
                <w:rStyle w:val="Hyperlink"/>
              </w:rPr>
              <w:t>2.</w:t>
            </w:r>
            <w:r>
              <w:tab/>
            </w:r>
            <w:r w:rsidRPr="7027B170" w:rsidR="7027B170">
              <w:rPr>
                <w:rStyle w:val="Hyperlink"/>
              </w:rPr>
              <w:t>Learning outcomes:</w:t>
            </w:r>
            <w:r>
              <w:tab/>
            </w:r>
            <w:r>
              <w:fldChar w:fldCharType="begin"/>
            </w:r>
            <w:r>
              <w:instrText xml:space="preserve">PAGEREF _Toc729703722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272628" w:rsidR="00272628" w:rsidP="7027B170" w:rsidRDefault="00272628" w14:paraId="00858B58" w14:textId="6D0D6A37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997315511">
            <w:r w:rsidRPr="7027B170" w:rsidR="7027B170">
              <w:rPr>
                <w:rStyle w:val="Hyperlink"/>
              </w:rPr>
              <w:t>3.</w:t>
            </w:r>
            <w:r>
              <w:tab/>
            </w:r>
            <w:r w:rsidRPr="7027B170" w:rsidR="7027B170">
              <w:rPr>
                <w:rStyle w:val="Hyperlink"/>
              </w:rPr>
              <w:t>Course format:</w:t>
            </w:r>
            <w:r>
              <w:tab/>
            </w:r>
            <w:r>
              <w:fldChar w:fldCharType="begin"/>
            </w:r>
            <w:r>
              <w:instrText xml:space="preserve">PAGEREF _Toc997315511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1E3F7015" w14:textId="3BD05523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497054280">
            <w:r w:rsidRPr="7027B170" w:rsidR="7027B170">
              <w:rPr>
                <w:rStyle w:val="Hyperlink"/>
              </w:rPr>
              <w:t>4.</w:t>
            </w:r>
            <w:r>
              <w:tab/>
            </w:r>
            <w:r w:rsidRPr="7027B170" w:rsidR="7027B170">
              <w:rPr>
                <w:rStyle w:val="Hyperlink"/>
              </w:rPr>
              <w:t>Assessment:</w:t>
            </w:r>
            <w:r>
              <w:tab/>
            </w:r>
            <w:r>
              <w:fldChar w:fldCharType="begin"/>
            </w:r>
            <w:r>
              <w:instrText xml:space="preserve">PAGEREF _Toc1497054280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02BBA98E" w14:textId="6478812A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700061706">
            <w:r w:rsidRPr="7027B170" w:rsidR="7027B170">
              <w:rPr>
                <w:rStyle w:val="Hyperlink"/>
              </w:rPr>
              <w:t>5.</w:t>
            </w:r>
            <w:r>
              <w:tab/>
            </w:r>
            <w:r w:rsidRPr="7027B170" w:rsidR="7027B170">
              <w:rPr>
                <w:rStyle w:val="Hyperlink"/>
              </w:rPr>
              <w:t>Pre-reading:</w:t>
            </w:r>
            <w:r>
              <w:tab/>
            </w:r>
            <w:r>
              <w:fldChar w:fldCharType="begin"/>
            </w:r>
            <w:r>
              <w:instrText xml:space="preserve">PAGEREF _Toc700061706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746455FB" w14:textId="377B299B">
          <w:pPr>
            <w:pStyle w:val="TOC2"/>
            <w:tabs>
              <w:tab w:val="left" w:leader="none" w:pos="660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33488350">
            <w:r w:rsidRPr="7027B170" w:rsidR="7027B170">
              <w:rPr>
                <w:rStyle w:val="Hyperlink"/>
              </w:rPr>
              <w:t>5.1</w:t>
            </w:r>
            <w:r>
              <w:tab/>
            </w:r>
            <w:r w:rsidRPr="7027B170" w:rsidR="7027B170">
              <w:rPr>
                <w:rStyle w:val="Hyperlink"/>
              </w:rPr>
              <w:t>Prenatal genomics</w:t>
            </w:r>
            <w:r>
              <w:tab/>
            </w:r>
            <w:r>
              <w:fldChar w:fldCharType="begin"/>
            </w:r>
            <w:r>
              <w:instrText xml:space="preserve">PAGEREF _Toc33488350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484378E1" w14:textId="6F733C2B">
          <w:pPr>
            <w:pStyle w:val="TOC2"/>
            <w:tabs>
              <w:tab w:val="left" w:leader="none" w:pos="660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693465367">
            <w:r w:rsidRPr="7027B170" w:rsidR="7027B170">
              <w:rPr>
                <w:rStyle w:val="Hyperlink"/>
              </w:rPr>
              <w:t>5.2</w:t>
            </w:r>
            <w:r>
              <w:tab/>
            </w:r>
            <w:r w:rsidRPr="7027B170" w:rsidR="7027B170">
              <w:rPr>
                <w:rStyle w:val="Hyperlink"/>
              </w:rPr>
              <w:t>Exome sequencing</w:t>
            </w:r>
            <w:r>
              <w:tab/>
            </w:r>
            <w:r>
              <w:fldChar w:fldCharType="begin"/>
            </w:r>
            <w:r>
              <w:instrText xml:space="preserve">PAGEREF _Toc1693465367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5F813E42" w14:textId="145C062C">
          <w:pPr>
            <w:pStyle w:val="TOC2"/>
            <w:tabs>
              <w:tab w:val="left" w:leader="none" w:pos="660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192308911">
            <w:r w:rsidRPr="7027B170" w:rsidR="7027B170">
              <w:rPr>
                <w:rStyle w:val="Hyperlink"/>
              </w:rPr>
              <w:t>5.3</w:t>
            </w:r>
            <w:r>
              <w:tab/>
            </w:r>
            <w:r w:rsidRPr="7027B170" w:rsidR="7027B170">
              <w:rPr>
                <w:rStyle w:val="Hyperlink"/>
              </w:rPr>
              <w:t>ACGS UK best practice guidelines</w:t>
            </w:r>
            <w:r>
              <w:tab/>
            </w:r>
            <w:r>
              <w:fldChar w:fldCharType="begin"/>
            </w:r>
            <w:r>
              <w:instrText xml:space="preserve">PAGEREF _Toc1192308911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272628" w:rsidR="00272628" w:rsidP="7027B170" w:rsidRDefault="00272628" w14:paraId="7C3E40BD" w14:textId="683750FF">
          <w:pPr>
            <w:pStyle w:val="TOC1"/>
            <w:tabs>
              <w:tab w:val="left" w:leader="none" w:pos="435"/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488441615">
            <w:r w:rsidRPr="7027B170" w:rsidR="7027B170">
              <w:rPr>
                <w:rStyle w:val="Hyperlink"/>
              </w:rPr>
              <w:t>6.</w:t>
            </w:r>
            <w:r>
              <w:tab/>
            </w:r>
            <w:r w:rsidRPr="7027B170" w:rsidR="7027B170">
              <w:rPr>
                <w:rStyle w:val="Hyperlink"/>
              </w:rPr>
              <w:t>Databases and other tools for variant interpretation evidence gathering</w:t>
            </w:r>
            <w:r>
              <w:tab/>
            </w:r>
            <w:r>
              <w:fldChar w:fldCharType="begin"/>
            </w:r>
            <w:r>
              <w:instrText xml:space="preserve">PAGEREF _Toc488441615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Pr="00272628" w:rsidR="00272628" w:rsidP="7027B170" w:rsidRDefault="00272628" w14:paraId="7B469FE6" w14:textId="257C2DC4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106007283">
            <w:r w:rsidRPr="7027B170" w:rsidR="7027B170">
              <w:rPr>
                <w:rStyle w:val="Hyperlink"/>
              </w:rPr>
              <w:t>6.1 Gene and phenotype information</w:t>
            </w:r>
            <w:r>
              <w:tab/>
            </w:r>
            <w:r>
              <w:fldChar w:fldCharType="begin"/>
            </w:r>
            <w:r>
              <w:instrText xml:space="preserve">PAGEREF _Toc2106007283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Pr="00272628" w:rsidR="00272628" w:rsidP="7027B170" w:rsidRDefault="00272628" w14:paraId="5F712387" w14:textId="21F52937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394930403">
            <w:r w:rsidRPr="7027B170" w:rsidR="7027B170">
              <w:rPr>
                <w:rStyle w:val="Hyperlink"/>
              </w:rPr>
              <w:t>6.2 Population databases</w:t>
            </w:r>
            <w:r>
              <w:tab/>
            </w:r>
            <w:r>
              <w:fldChar w:fldCharType="begin"/>
            </w:r>
            <w:r>
              <w:instrText xml:space="preserve">PAGEREF _Toc1394930403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Pr="00272628" w:rsidR="00272628" w:rsidP="7027B170" w:rsidRDefault="00272628" w14:paraId="126CDE51" w14:textId="051C3B00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865286601">
            <w:r w:rsidRPr="7027B170" w:rsidR="7027B170">
              <w:rPr>
                <w:rStyle w:val="Hyperlink"/>
              </w:rPr>
              <w:t>6.3 Functional impact</w:t>
            </w:r>
            <w:r>
              <w:tab/>
            </w:r>
            <w:r>
              <w:fldChar w:fldCharType="begin"/>
            </w:r>
            <w:r>
              <w:instrText xml:space="preserve">PAGEREF _Toc1865286601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Pr="00272628" w:rsidR="00272628" w:rsidP="7027B170" w:rsidRDefault="00272628" w14:paraId="75998EF5" w14:textId="13CA2AA9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65943522">
            <w:r w:rsidRPr="7027B170" w:rsidR="7027B170">
              <w:rPr>
                <w:rStyle w:val="Hyperlink"/>
              </w:rPr>
              <w:t>6.4 Literature searches and other databases</w:t>
            </w:r>
            <w:r>
              <w:tab/>
            </w:r>
            <w:r>
              <w:fldChar w:fldCharType="begin"/>
            </w:r>
            <w:r>
              <w:instrText xml:space="preserve">PAGEREF _Toc265943522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272628" w:rsidR="00272628" w:rsidP="7027B170" w:rsidRDefault="00272628" w14:paraId="1F0E3C6D" w14:textId="3B4218DD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905522667">
            <w:r w:rsidRPr="7027B170" w:rsidR="7027B170">
              <w:rPr>
                <w:rStyle w:val="Hyperlink"/>
              </w:rPr>
              <w:t>6.5 A comprehensive suite: DECIPHER</w:t>
            </w:r>
            <w:r>
              <w:tab/>
            </w:r>
            <w:r>
              <w:fldChar w:fldCharType="begin"/>
            </w:r>
            <w:r>
              <w:instrText xml:space="preserve">PAGEREF _Toc1905522667 \h</w:instrText>
            </w:r>
            <w:r>
              <w:fldChar w:fldCharType="separate"/>
            </w:r>
            <w:r w:rsidRPr="7027B170" w:rsidR="7027B170">
              <w:rPr>
                <w:rStyle w:val="Hyperlink"/>
              </w:rPr>
              <w:t>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4ABB6A88" w:rsidP="6CF4E60E" w:rsidRDefault="007F0846" w14:paraId="4F6B69D6" w14:textId="63C26016">
      <w:pPr>
        <w:pStyle w:val="TOC1"/>
        <w:tabs>
          <w:tab w:val="right" w:leader="dot" w:pos="9015"/>
        </w:tabs>
        <w:rPr>
          <w:rStyle w:val="Hyperlink"/>
          <w:rFonts w:ascii="Arial" w:hAnsi="Arial" w:eastAsia="Arial" w:cs="Arial"/>
        </w:rPr>
      </w:pPr>
    </w:p>
    <w:p w:rsidR="000E19F7" w:rsidP="4ABB6A88" w:rsidRDefault="000E19F7" w14:paraId="5DAB6C7B" w14:textId="77B6774F">
      <w:pPr>
        <w:spacing w:line="276" w:lineRule="auto"/>
        <w:rPr>
          <w:rFonts w:ascii="Arial" w:hAnsi="Arial" w:eastAsia="Arial" w:cs="Arial"/>
        </w:rPr>
      </w:pPr>
    </w:p>
    <w:p w:rsidRPr="00CA6B6B" w:rsidR="000E19F7" w:rsidP="00F43A65" w:rsidRDefault="08AC3C49" w14:paraId="5EC823F1" w14:textId="3E625C3F">
      <w:pPr>
        <w:pStyle w:val="Heading1"/>
        <w:numPr>
          <w:ilvl w:val="0"/>
          <w:numId w:val="15"/>
        </w:numPr>
        <w:rPr/>
      </w:pPr>
      <w:bookmarkStart w:name="_Toc236524840" w:id="831905442"/>
      <w:r w:rsidR="08AC3C49">
        <w:rPr/>
        <w:t>Introduction</w:t>
      </w:r>
      <w:r w:rsidR="468F3147">
        <w:rPr/>
        <w:t xml:space="preserve"> and course </w:t>
      </w:r>
      <w:r w:rsidR="468F3147">
        <w:rPr/>
        <w:t>aims</w:t>
      </w:r>
      <w:r w:rsidR="32CC186D">
        <w:rPr/>
        <w:t>:</w:t>
      </w:r>
      <w:bookmarkEnd w:id="831905442"/>
    </w:p>
    <w:p w:rsidRPr="00760F20" w:rsidR="00760F20" w:rsidP="4DA6DD73" w:rsidRDefault="4AD63835" w14:paraId="09F5CA30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  <w:r w:rsidRPr="4DA6DD73">
        <w:rPr>
          <w:rFonts w:ascii="Arial" w:hAnsi="Arial" w:eastAsia="Arial" w:cs="Arial"/>
          <w:sz w:val="24"/>
          <w:szCs w:val="24"/>
        </w:rPr>
        <w:t xml:space="preserve">This </w:t>
      </w:r>
      <w:r w:rsidRPr="4DA6DD73" w:rsidR="688EA036">
        <w:rPr>
          <w:rFonts w:ascii="Arial" w:hAnsi="Arial" w:eastAsia="Arial" w:cs="Arial"/>
          <w:sz w:val="24"/>
          <w:szCs w:val="24"/>
        </w:rPr>
        <w:t>course</w:t>
      </w:r>
      <w:r w:rsidRPr="4DA6DD73">
        <w:rPr>
          <w:rFonts w:ascii="Arial" w:hAnsi="Arial" w:eastAsia="Arial" w:cs="Arial"/>
          <w:sz w:val="24"/>
          <w:szCs w:val="24"/>
        </w:rPr>
        <w:t xml:space="preserve"> aims to </w:t>
      </w:r>
      <w:r w:rsidRPr="4DA6DD73" w:rsidR="605CAF3A">
        <w:rPr>
          <w:rFonts w:ascii="Arial" w:hAnsi="Arial" w:eastAsia="Arial" w:cs="Arial"/>
          <w:sz w:val="24"/>
          <w:szCs w:val="24"/>
        </w:rPr>
        <w:t>introduce and discuss</w:t>
      </w:r>
      <w:r w:rsidRPr="4DA6DD73">
        <w:rPr>
          <w:rFonts w:ascii="Arial" w:hAnsi="Arial" w:eastAsia="Arial" w:cs="Arial"/>
          <w:sz w:val="24"/>
          <w:szCs w:val="24"/>
        </w:rPr>
        <w:t xml:space="preserve"> concepts from the </w:t>
      </w:r>
      <w:hyperlink r:id="rId8">
        <w:r w:rsidRPr="4DA6DD73">
          <w:rPr>
            <w:rStyle w:val="Hyperlink"/>
            <w:rFonts w:ascii="Arial" w:hAnsi="Arial" w:eastAsia="Arial" w:cs="Arial"/>
            <w:sz w:val="24"/>
            <w:szCs w:val="24"/>
          </w:rPr>
          <w:t>prenatal genomics module</w:t>
        </w:r>
      </w:hyperlink>
      <w:r w:rsidRPr="4DA6DD73">
        <w:rPr>
          <w:rFonts w:ascii="Arial" w:hAnsi="Arial" w:eastAsia="Arial" w:cs="Arial"/>
          <w:sz w:val="24"/>
          <w:szCs w:val="24"/>
        </w:rPr>
        <w:t xml:space="preserve"> and to support STP</w:t>
      </w:r>
      <w:r w:rsidRPr="4DA6DD73" w:rsidR="338F94D3">
        <w:rPr>
          <w:rFonts w:ascii="Arial" w:hAnsi="Arial" w:eastAsia="Arial" w:cs="Arial"/>
          <w:sz w:val="24"/>
          <w:szCs w:val="24"/>
        </w:rPr>
        <w:t xml:space="preserve"> (Scientist Training Programme)</w:t>
      </w:r>
      <w:r w:rsidRPr="4DA6DD73">
        <w:rPr>
          <w:rFonts w:ascii="Arial" w:hAnsi="Arial" w:eastAsia="Arial" w:cs="Arial"/>
          <w:sz w:val="24"/>
          <w:szCs w:val="24"/>
        </w:rPr>
        <w:t xml:space="preserve"> trainees in achieving the learning outcomes of training activity 5 </w:t>
      </w:r>
      <w:r w:rsidRPr="4DA6DD73" w:rsidR="533114CD">
        <w:rPr>
          <w:rFonts w:ascii="Arial" w:hAnsi="Arial" w:eastAsia="Arial" w:cs="Arial"/>
          <w:sz w:val="24"/>
          <w:szCs w:val="24"/>
        </w:rPr>
        <w:t>(</w:t>
      </w:r>
      <w:r w:rsidRPr="4DA6DD73">
        <w:rPr>
          <w:rFonts w:ascii="Arial" w:hAnsi="Arial" w:eastAsia="Arial" w:cs="Arial"/>
          <w:sz w:val="24"/>
          <w:szCs w:val="24"/>
        </w:rPr>
        <w:t>“Analyse, interpret and report the results for cases referred for prenatal exome analysis”</w:t>
      </w:r>
      <w:r w:rsidRPr="4DA6DD73" w:rsidR="533114CD">
        <w:rPr>
          <w:rFonts w:ascii="Arial" w:hAnsi="Arial" w:eastAsia="Arial" w:cs="Arial"/>
          <w:sz w:val="24"/>
          <w:szCs w:val="24"/>
        </w:rPr>
        <w:t>)</w:t>
      </w:r>
      <w:r w:rsidRPr="4DA6DD73">
        <w:rPr>
          <w:rFonts w:ascii="Arial" w:hAnsi="Arial" w:eastAsia="Arial" w:cs="Arial"/>
          <w:sz w:val="24"/>
          <w:szCs w:val="24"/>
        </w:rPr>
        <w:t xml:space="preserve">.  </w:t>
      </w:r>
      <w:r w:rsidRPr="4DA6DD73" w:rsidR="688EA036">
        <w:rPr>
          <w:rFonts w:ascii="Arial" w:hAnsi="Arial" w:eastAsia="Arial" w:cs="Arial"/>
          <w:sz w:val="24"/>
          <w:szCs w:val="24"/>
        </w:rPr>
        <w:t>The course is also aimed at healthcare professionals involved in the delivery</w:t>
      </w:r>
      <w:r w:rsidRPr="4DA6DD73" w:rsidR="605CAF3A">
        <w:rPr>
          <w:rFonts w:ascii="Arial" w:hAnsi="Arial" w:eastAsia="Arial" w:cs="Arial"/>
          <w:sz w:val="24"/>
          <w:szCs w:val="24"/>
        </w:rPr>
        <w:t xml:space="preserve"> of the </w:t>
      </w:r>
      <w:r w:rsidRPr="4DA6DD73" w:rsidR="60FBDEDD">
        <w:rPr>
          <w:rFonts w:ascii="Arial" w:hAnsi="Arial" w:eastAsia="Arial" w:cs="Arial"/>
          <w:sz w:val="24"/>
          <w:szCs w:val="24"/>
        </w:rPr>
        <w:t xml:space="preserve">National Genomics Test Directory </w:t>
      </w:r>
      <w:proofErr w:type="spellStart"/>
      <w:r w:rsidRPr="4DA6DD73" w:rsidR="605CAF3A">
        <w:rPr>
          <w:rFonts w:ascii="Arial" w:hAnsi="Arial" w:eastAsia="Arial" w:cs="Arial"/>
          <w:sz w:val="24"/>
          <w:szCs w:val="24"/>
        </w:rPr>
        <w:t>fetal</w:t>
      </w:r>
      <w:proofErr w:type="spellEnd"/>
      <w:r w:rsidRPr="4DA6DD73" w:rsidR="605CAF3A">
        <w:rPr>
          <w:rFonts w:ascii="Arial" w:hAnsi="Arial" w:eastAsia="Arial" w:cs="Arial"/>
          <w:sz w:val="24"/>
          <w:szCs w:val="24"/>
        </w:rPr>
        <w:t xml:space="preserve"> exomes service (</w:t>
      </w:r>
      <w:hyperlink r:id="rId9">
        <w:r w:rsidRPr="4DA6DD73" w:rsidR="605CAF3A">
          <w:rPr>
            <w:rStyle w:val="Hyperlink"/>
            <w:rFonts w:ascii="Arial" w:hAnsi="Arial" w:eastAsia="Arial" w:cs="Arial"/>
            <w:sz w:val="24"/>
            <w:szCs w:val="24"/>
          </w:rPr>
          <w:t>R21</w:t>
        </w:r>
      </w:hyperlink>
      <w:r w:rsidRPr="4DA6DD73" w:rsidR="605CAF3A">
        <w:rPr>
          <w:rFonts w:ascii="Arial" w:hAnsi="Arial" w:eastAsia="Arial" w:cs="Arial"/>
          <w:sz w:val="24"/>
          <w:szCs w:val="24"/>
        </w:rPr>
        <w:t xml:space="preserve">), </w:t>
      </w:r>
      <w:r w:rsidRPr="4DA6DD73" w:rsidR="688EA036">
        <w:rPr>
          <w:rFonts w:ascii="Arial" w:hAnsi="Arial" w:eastAsia="Arial" w:cs="Arial"/>
          <w:sz w:val="24"/>
          <w:szCs w:val="24"/>
        </w:rPr>
        <w:t xml:space="preserve"> </w:t>
      </w:r>
      <w:r w:rsidRPr="4DA6DD73" w:rsidR="605CAF3A">
        <w:rPr>
          <w:rFonts w:ascii="Arial" w:hAnsi="Arial" w:eastAsia="Arial" w:cs="Arial"/>
          <w:sz w:val="24"/>
          <w:szCs w:val="24"/>
        </w:rPr>
        <w:t>those</w:t>
      </w:r>
      <w:r w:rsidRPr="4DA6DD73" w:rsidR="688EA036">
        <w:rPr>
          <w:rFonts w:ascii="Arial" w:hAnsi="Arial" w:eastAsia="Arial" w:cs="Arial"/>
          <w:sz w:val="24"/>
          <w:szCs w:val="24"/>
        </w:rPr>
        <w:t xml:space="preserve"> accessing </w:t>
      </w:r>
      <w:r w:rsidRPr="4DA6DD73" w:rsidR="605CAF3A">
        <w:rPr>
          <w:rFonts w:ascii="Arial" w:hAnsi="Arial" w:eastAsia="Arial" w:cs="Arial"/>
          <w:sz w:val="24"/>
          <w:szCs w:val="24"/>
        </w:rPr>
        <w:t xml:space="preserve">it for the patients they manage </w:t>
      </w:r>
      <w:r w:rsidRPr="4DA6DD73" w:rsidR="688EA036">
        <w:rPr>
          <w:rFonts w:ascii="Arial" w:hAnsi="Arial" w:eastAsia="Arial" w:cs="Arial"/>
          <w:sz w:val="24"/>
          <w:szCs w:val="24"/>
        </w:rPr>
        <w:t>and those who require knowledge of the service for CPD</w:t>
      </w:r>
      <w:r w:rsidRPr="4DA6DD73" w:rsidR="605CAF3A">
        <w:rPr>
          <w:rFonts w:ascii="Arial" w:hAnsi="Arial" w:eastAsia="Arial" w:cs="Arial"/>
          <w:sz w:val="24"/>
          <w:szCs w:val="24"/>
        </w:rPr>
        <w:t xml:space="preserve"> and further training and development (e.g. HSTT trainees, </w:t>
      </w:r>
      <w:proofErr w:type="spellStart"/>
      <w:r w:rsidRPr="4DA6DD73" w:rsidR="605CAF3A">
        <w:rPr>
          <w:rFonts w:ascii="Arial" w:hAnsi="Arial" w:eastAsia="Arial" w:cs="Arial"/>
          <w:sz w:val="24"/>
          <w:szCs w:val="24"/>
        </w:rPr>
        <w:t>RCPath</w:t>
      </w:r>
      <w:proofErr w:type="spellEnd"/>
      <w:r w:rsidRPr="4DA6DD73" w:rsidR="605CAF3A">
        <w:rPr>
          <w:rFonts w:ascii="Arial" w:hAnsi="Arial" w:eastAsia="Arial" w:cs="Arial"/>
          <w:sz w:val="24"/>
          <w:szCs w:val="24"/>
        </w:rPr>
        <w:t xml:space="preserve"> exam)</w:t>
      </w:r>
      <w:r w:rsidRPr="4DA6DD73" w:rsidR="688EA036">
        <w:rPr>
          <w:rFonts w:ascii="Arial" w:hAnsi="Arial" w:eastAsia="Arial" w:cs="Arial"/>
          <w:sz w:val="24"/>
          <w:szCs w:val="24"/>
        </w:rPr>
        <w:t>.</w:t>
      </w:r>
    </w:p>
    <w:p w:rsidR="00760F20" w:rsidP="4DA6DD73" w:rsidRDefault="00760F20" w14:paraId="02EB378F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</w:p>
    <w:p w:rsidR="00760F20" w:rsidP="00F43A65" w:rsidRDefault="2EF7416E" w14:paraId="40354718" w14:textId="74CA4004">
      <w:pPr>
        <w:pStyle w:val="Heading1"/>
        <w:numPr>
          <w:ilvl w:val="0"/>
          <w:numId w:val="15"/>
        </w:numPr>
        <w:rPr/>
      </w:pPr>
      <w:bookmarkStart w:name="_Toc729703722" w:id="1264853667"/>
      <w:r w:rsidR="2EF7416E">
        <w:rPr/>
        <w:t>Learning outcomes</w:t>
      </w:r>
      <w:r w:rsidR="32CC186D">
        <w:rPr/>
        <w:t>:</w:t>
      </w:r>
      <w:bookmarkEnd w:id="1264853667"/>
    </w:p>
    <w:p w:rsidRPr="00054DCF" w:rsidR="00054DCF" w:rsidP="4DA6DD73" w:rsidRDefault="60FBDEDD" w14:paraId="434FA6F4" w14:textId="77777777">
      <w:pPr>
        <w:spacing w:line="360" w:lineRule="auto"/>
        <w:rPr>
          <w:rFonts w:ascii="Arial" w:hAnsi="Arial" w:cs="Arial"/>
          <w:sz w:val="28"/>
          <w:szCs w:val="28"/>
        </w:rPr>
      </w:pPr>
      <w:r w:rsidRPr="4DA6DD73">
        <w:rPr>
          <w:rFonts w:ascii="Arial" w:hAnsi="Arial" w:cs="Arial"/>
          <w:sz w:val="24"/>
          <w:szCs w:val="24"/>
        </w:rPr>
        <w:t>T</w:t>
      </w:r>
      <w:r w:rsidRPr="4DA6DD73" w:rsidR="533114CD">
        <w:rPr>
          <w:rFonts w:ascii="Arial" w:hAnsi="Arial" w:cs="Arial"/>
          <w:sz w:val="24"/>
          <w:szCs w:val="24"/>
        </w:rPr>
        <w:t xml:space="preserve">heoretical and practical concepts </w:t>
      </w:r>
      <w:r w:rsidRPr="4DA6DD73">
        <w:rPr>
          <w:rFonts w:ascii="Arial" w:hAnsi="Arial" w:cs="Arial"/>
          <w:sz w:val="24"/>
          <w:szCs w:val="24"/>
        </w:rPr>
        <w:t xml:space="preserve">relevant to </w:t>
      </w:r>
      <w:r w:rsidRPr="4DA6DD73" w:rsidR="533114CD">
        <w:rPr>
          <w:rFonts w:ascii="Arial" w:hAnsi="Arial" w:cs="Arial"/>
          <w:sz w:val="24"/>
          <w:szCs w:val="24"/>
        </w:rPr>
        <w:t>prenatal exome analysis in clinical practice</w:t>
      </w:r>
      <w:r w:rsidRPr="4DA6DD73">
        <w:rPr>
          <w:rFonts w:ascii="Arial" w:hAnsi="Arial" w:cs="Arial"/>
          <w:sz w:val="24"/>
          <w:szCs w:val="24"/>
        </w:rPr>
        <w:t xml:space="preserve"> will be covered in this course</w:t>
      </w:r>
      <w:r w:rsidRPr="4DA6DD73" w:rsidR="533114CD">
        <w:rPr>
          <w:rFonts w:ascii="Arial" w:hAnsi="Arial" w:cs="Arial"/>
          <w:sz w:val="24"/>
          <w:szCs w:val="24"/>
        </w:rPr>
        <w:t>. Learners will gain an understanding of the patient journey from referral to reporting and will reflect on contemporary issues faced by healthcare professionals delivering and accessing the service</w:t>
      </w:r>
      <w:r w:rsidRPr="4DA6DD73" w:rsidR="01D64571">
        <w:rPr>
          <w:rFonts w:ascii="Arial" w:hAnsi="Arial" w:cs="Arial"/>
          <w:sz w:val="24"/>
          <w:szCs w:val="24"/>
        </w:rPr>
        <w:t xml:space="preserve"> for the benefit of their patients</w:t>
      </w:r>
      <w:r w:rsidRPr="4DA6DD73" w:rsidR="533114CD">
        <w:rPr>
          <w:rFonts w:ascii="Arial" w:hAnsi="Arial" w:cs="Arial"/>
          <w:sz w:val="24"/>
          <w:szCs w:val="24"/>
        </w:rPr>
        <w:t>.</w:t>
      </w:r>
      <w:r w:rsidRPr="4DA6DD73" w:rsidR="01D64571">
        <w:rPr>
          <w:rFonts w:ascii="Arial" w:hAnsi="Arial" w:cs="Arial"/>
          <w:sz w:val="24"/>
          <w:szCs w:val="24"/>
        </w:rPr>
        <w:t xml:space="preserve"> By the end of this </w:t>
      </w:r>
      <w:r w:rsidRPr="4DA6DD73" w:rsidR="533114CD">
        <w:rPr>
          <w:rFonts w:ascii="Arial" w:hAnsi="Arial" w:cs="Arial"/>
          <w:sz w:val="24"/>
          <w:szCs w:val="24"/>
        </w:rPr>
        <w:t>course</w:t>
      </w:r>
      <w:r w:rsidRPr="4DA6DD73" w:rsidR="01D64571">
        <w:rPr>
          <w:rFonts w:ascii="Arial" w:hAnsi="Arial" w:cs="Arial"/>
          <w:sz w:val="24"/>
          <w:szCs w:val="24"/>
        </w:rPr>
        <w:t>, you will be able to:</w:t>
      </w:r>
    </w:p>
    <w:p w:rsidR="00760F20" w:rsidP="4DA6DD73" w:rsidRDefault="688EA036" w14:paraId="76323ACE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4DA6DD73">
        <w:rPr>
          <w:rFonts w:ascii="Arial" w:hAnsi="Arial" w:cs="Arial"/>
          <w:sz w:val="24"/>
          <w:szCs w:val="24"/>
        </w:rPr>
        <w:t>Apply appropriate testing strategies to patients referred following abnormal ultrasound scan findings.</w:t>
      </w:r>
      <w:r w:rsidR="00760F20">
        <w:tab/>
      </w:r>
    </w:p>
    <w:p w:rsidR="00760F20" w:rsidP="4DA6DD73" w:rsidRDefault="688EA036" w14:paraId="009A7D65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4DA6DD73">
        <w:rPr>
          <w:rFonts w:ascii="Arial" w:hAnsi="Arial" w:cs="Arial"/>
          <w:sz w:val="24"/>
          <w:szCs w:val="24"/>
        </w:rPr>
        <w:t xml:space="preserve">Interpret genomic variants, including copy number </w:t>
      </w:r>
      <w:r w:rsidRPr="4DA6DD73" w:rsidR="60FBDEDD">
        <w:rPr>
          <w:rFonts w:ascii="Arial" w:hAnsi="Arial" w:cs="Arial"/>
          <w:sz w:val="24"/>
          <w:szCs w:val="24"/>
        </w:rPr>
        <w:t>variants</w:t>
      </w:r>
      <w:r w:rsidRPr="4DA6DD73">
        <w:rPr>
          <w:rFonts w:ascii="Arial" w:hAnsi="Arial" w:cs="Arial"/>
          <w:sz w:val="24"/>
          <w:szCs w:val="24"/>
        </w:rPr>
        <w:t xml:space="preserve"> and investigate the clinical significance of variants using </w:t>
      </w:r>
      <w:r w:rsidRPr="4DA6DD73" w:rsidR="60FBDEDD">
        <w:rPr>
          <w:rFonts w:ascii="Arial" w:hAnsi="Arial" w:cs="Arial"/>
          <w:sz w:val="24"/>
          <w:szCs w:val="24"/>
        </w:rPr>
        <w:t xml:space="preserve">a range of </w:t>
      </w:r>
      <w:r w:rsidRPr="4DA6DD73">
        <w:rPr>
          <w:rFonts w:ascii="Arial" w:hAnsi="Arial" w:cs="Arial"/>
          <w:sz w:val="24"/>
          <w:szCs w:val="24"/>
        </w:rPr>
        <w:t>bioinformatic tools</w:t>
      </w:r>
      <w:r w:rsidRPr="4DA6DD73" w:rsidR="60FBDEDD">
        <w:rPr>
          <w:rFonts w:ascii="Arial" w:hAnsi="Arial" w:cs="Arial"/>
          <w:sz w:val="24"/>
          <w:szCs w:val="24"/>
        </w:rPr>
        <w:t>, databases and datasets, in accordance with</w:t>
      </w:r>
      <w:r w:rsidRPr="4DA6DD73">
        <w:rPr>
          <w:rFonts w:ascii="Arial" w:hAnsi="Arial" w:cs="Arial"/>
          <w:sz w:val="24"/>
          <w:szCs w:val="24"/>
        </w:rPr>
        <w:t xml:space="preserve"> best practice guidelines.</w:t>
      </w:r>
      <w:r w:rsidR="00760F20">
        <w:tab/>
      </w:r>
    </w:p>
    <w:p w:rsidR="00760F20" w:rsidP="4DA6DD73" w:rsidRDefault="688EA036" w14:paraId="27BA51B4" w14:textId="34D69F0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4DA6DD73">
        <w:rPr>
          <w:rFonts w:ascii="Arial" w:hAnsi="Arial" w:cs="Arial"/>
          <w:sz w:val="24"/>
          <w:szCs w:val="24"/>
        </w:rPr>
        <w:t>Interpret and report prenatal genomic findings, including appropriate recommendations for patient management.</w:t>
      </w:r>
    </w:p>
    <w:p w:rsidRPr="00760F20" w:rsidR="00F43A65" w:rsidP="00F43A65" w:rsidRDefault="00F43A65" w14:paraId="289F8E8F" w14:textId="7777777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Pr="006126E2" w:rsidR="00F43A65" w:rsidP="00F43A65" w:rsidRDefault="532EFC62" w14:paraId="484F3BF1" w14:textId="77777777">
      <w:pPr>
        <w:pStyle w:val="Heading1"/>
        <w:numPr>
          <w:ilvl w:val="0"/>
          <w:numId w:val="15"/>
        </w:numPr>
        <w:rPr/>
      </w:pPr>
      <w:bookmarkStart w:name="_Toc997315511" w:id="1180919661"/>
      <w:r w:rsidR="532EFC62">
        <w:rPr/>
        <w:t>Course format:</w:t>
      </w:r>
      <w:bookmarkEnd w:id="1180919661"/>
    </w:p>
    <w:p w:rsidRPr="002A76B8" w:rsidR="00F43A65" w:rsidP="002A76B8" w:rsidRDefault="00F43A65" w14:paraId="22BB5BAD" w14:textId="1AEEF21A">
      <w:pPr>
        <w:spacing w:line="360" w:lineRule="auto"/>
        <w:rPr>
          <w:rFonts w:ascii="Arial" w:hAnsi="Arial" w:cs="Arial"/>
          <w:sz w:val="24"/>
          <w:szCs w:val="24"/>
        </w:rPr>
      </w:pPr>
      <w:r w:rsidRPr="002A76B8">
        <w:rPr>
          <w:rFonts w:ascii="Arial" w:hAnsi="Arial" w:cs="Arial"/>
          <w:sz w:val="24"/>
          <w:szCs w:val="24"/>
        </w:rPr>
        <w:t>Trainees will attend an online webinar on Friday, 27</w:t>
      </w:r>
      <w:r w:rsidRPr="00272628" w:rsidR="00272628">
        <w:rPr>
          <w:rFonts w:ascii="Arial" w:hAnsi="Arial" w:cs="Arial"/>
          <w:sz w:val="24"/>
          <w:szCs w:val="24"/>
          <w:vertAlign w:val="superscript"/>
        </w:rPr>
        <w:t>th</w:t>
      </w:r>
      <w:r w:rsidR="00272628">
        <w:rPr>
          <w:rFonts w:ascii="Arial" w:hAnsi="Arial" w:cs="Arial"/>
          <w:sz w:val="24"/>
          <w:szCs w:val="24"/>
        </w:rPr>
        <w:t xml:space="preserve"> </w:t>
      </w:r>
      <w:r w:rsidRPr="002A76B8">
        <w:rPr>
          <w:rFonts w:ascii="Arial" w:hAnsi="Arial" w:cs="Arial"/>
          <w:sz w:val="24"/>
          <w:szCs w:val="24"/>
        </w:rPr>
        <w:t xml:space="preserve">September 2024 and an online workshop on Friday, </w:t>
      </w:r>
      <w:r w:rsidR="00272628">
        <w:rPr>
          <w:rFonts w:ascii="Arial" w:hAnsi="Arial" w:cs="Arial"/>
          <w:sz w:val="24"/>
          <w:szCs w:val="24"/>
        </w:rPr>
        <w:t>11</w:t>
      </w:r>
      <w:r w:rsidRPr="00272628" w:rsidR="00272628">
        <w:rPr>
          <w:rFonts w:ascii="Arial" w:hAnsi="Arial" w:cs="Arial"/>
          <w:sz w:val="24"/>
          <w:szCs w:val="24"/>
          <w:vertAlign w:val="superscript"/>
        </w:rPr>
        <w:t>th</w:t>
      </w:r>
      <w:r w:rsidR="00272628">
        <w:rPr>
          <w:rFonts w:ascii="Arial" w:hAnsi="Arial" w:cs="Arial"/>
          <w:sz w:val="24"/>
          <w:szCs w:val="24"/>
        </w:rPr>
        <w:t xml:space="preserve"> </w:t>
      </w:r>
      <w:r w:rsidRPr="002A76B8">
        <w:rPr>
          <w:rFonts w:ascii="Arial" w:hAnsi="Arial" w:cs="Arial"/>
          <w:sz w:val="24"/>
          <w:szCs w:val="24"/>
        </w:rPr>
        <w:t>October 2024. Engagement with the training materials during independent study time is also expected.</w:t>
      </w:r>
    </w:p>
    <w:p w:rsidRPr="00AF0CAD" w:rsidR="00F43A65" w:rsidP="002A76B8" w:rsidRDefault="1A1B437F" w14:paraId="08B8CE7F" w14:textId="02DC028F">
      <w:pPr>
        <w:spacing w:line="360" w:lineRule="auto"/>
        <w:rPr>
          <w:rFonts w:ascii="Arial" w:hAnsi="Arial" w:cs="Arial"/>
          <w:sz w:val="24"/>
          <w:szCs w:val="24"/>
        </w:rPr>
      </w:pPr>
      <w:r w:rsidRPr="4ABB6A88">
        <w:rPr>
          <w:rFonts w:ascii="Arial" w:hAnsi="Arial" w:cs="Arial"/>
          <w:sz w:val="24"/>
          <w:szCs w:val="24"/>
        </w:rPr>
        <w:t xml:space="preserve">Trainees might attend the </w:t>
      </w:r>
      <w:r w:rsidRPr="4ABB6A88" w:rsidR="532EFC62">
        <w:rPr>
          <w:rFonts w:ascii="Arial" w:hAnsi="Arial" w:cs="Arial"/>
          <w:sz w:val="24"/>
          <w:szCs w:val="24"/>
        </w:rPr>
        <w:t>Rapid prenatal exome sequencing service (R21) educational MDT on Wednesday, 2nd Oct 2024 12:30 PM - 2:00 PM</w:t>
      </w:r>
      <w:r w:rsidRPr="4ABB6A88" w:rsidR="704C13A1">
        <w:rPr>
          <w:rFonts w:ascii="Arial" w:hAnsi="Arial" w:cs="Arial"/>
          <w:sz w:val="24"/>
          <w:szCs w:val="24"/>
        </w:rPr>
        <w:t>. This is optional.</w:t>
      </w:r>
    </w:p>
    <w:p w:rsidRPr="006126E2" w:rsidR="00F43A65" w:rsidP="00F43A65" w:rsidRDefault="532EFC62" w14:paraId="1D844EEB" w14:textId="77777777">
      <w:pPr>
        <w:pStyle w:val="Heading1"/>
        <w:numPr>
          <w:ilvl w:val="0"/>
          <w:numId w:val="15"/>
        </w:numPr>
        <w:rPr/>
      </w:pPr>
      <w:bookmarkStart w:name="_Toc1497054280" w:id="1949469910"/>
      <w:r w:rsidR="532EFC62">
        <w:rPr/>
        <w:t>Assessment:</w:t>
      </w:r>
      <w:bookmarkEnd w:id="1949469910"/>
    </w:p>
    <w:p w:rsidRPr="00AF0CAD" w:rsidR="00F43A65" w:rsidP="7027B170" w:rsidRDefault="00F43A65" w14:paraId="77D45A18" w14:textId="1F106B9B">
      <w:pPr>
        <w:spacing w:line="360" w:lineRule="auto"/>
        <w:rPr>
          <w:rFonts w:ascii="Arial" w:hAnsi="Arial" w:cs="Arial"/>
          <w:sz w:val="24"/>
          <w:szCs w:val="24"/>
        </w:rPr>
      </w:pPr>
      <w:r w:rsidRPr="43B94F51" w:rsidR="00F43A65">
        <w:rPr>
          <w:rFonts w:ascii="Arial" w:hAnsi="Arial" w:cs="Arial"/>
          <w:sz w:val="24"/>
          <w:szCs w:val="24"/>
        </w:rPr>
        <w:t>Learners will complete formative assessment tasks during the course. Summative assessment for STP trainees will consist of case studies</w:t>
      </w:r>
      <w:r w:rsidRPr="43B94F51" w:rsidR="4BD1A906">
        <w:rPr>
          <w:rFonts w:ascii="Arial" w:hAnsi="Arial" w:cs="Arial"/>
          <w:sz w:val="24"/>
          <w:szCs w:val="24"/>
        </w:rPr>
        <w:t xml:space="preserve"> </w:t>
      </w:r>
      <w:r w:rsidRPr="43B94F51" w:rsidR="00F43A65">
        <w:rPr>
          <w:rFonts w:ascii="Arial" w:hAnsi="Arial" w:cs="Arial"/>
          <w:sz w:val="24"/>
          <w:szCs w:val="24"/>
        </w:rPr>
        <w:t>to test achievement of the learning outcomes.</w:t>
      </w:r>
      <w:r w:rsidRPr="43B94F51" w:rsidR="00F43A65">
        <w:rPr>
          <w:rFonts w:ascii="Arial" w:hAnsi="Arial" w:cs="Arial"/>
          <w:sz w:val="24"/>
          <w:szCs w:val="24"/>
        </w:rPr>
        <w:t xml:space="preserve"> </w:t>
      </w:r>
      <w:r w:rsidRPr="43B94F51" w:rsidR="00F43A65">
        <w:rPr>
          <w:rFonts w:ascii="Arial" w:hAnsi="Arial" w:cs="Arial"/>
          <w:sz w:val="24"/>
          <w:szCs w:val="24"/>
        </w:rPr>
        <w:t xml:space="preserve">A certificate of completion will be made </w:t>
      </w:r>
      <w:r w:rsidRPr="43B94F51" w:rsidR="00F43A65">
        <w:rPr>
          <w:rFonts w:ascii="Arial" w:hAnsi="Arial" w:cs="Arial"/>
          <w:sz w:val="24"/>
          <w:szCs w:val="24"/>
        </w:rPr>
        <w:t>available</w:t>
      </w:r>
      <w:r w:rsidRPr="43B94F51" w:rsidR="00F43A65">
        <w:rPr>
          <w:rFonts w:ascii="Arial" w:hAnsi="Arial" w:cs="Arial"/>
          <w:sz w:val="24"/>
          <w:szCs w:val="24"/>
        </w:rPr>
        <w:t xml:space="preserve"> and this must be uploaded to OneFile as evidence.</w:t>
      </w:r>
    </w:p>
    <w:p w:rsidR="00E552DD" w:rsidP="009F5A53" w:rsidRDefault="00E552DD" w14:paraId="45B6FE1D" w14:textId="77777777">
      <w:pPr>
        <w:spacing w:line="276" w:lineRule="auto"/>
        <w:rPr>
          <w:rFonts w:ascii="Arial" w:hAnsi="Arial" w:cs="Arial"/>
        </w:rPr>
      </w:pPr>
    </w:p>
    <w:p w:rsidRPr="00760F20" w:rsidR="000E19F7" w:rsidP="00F43A65" w:rsidRDefault="08AC3C49" w14:paraId="2B9BF299" w14:textId="1CBB1E1D">
      <w:pPr>
        <w:pStyle w:val="Heading1"/>
        <w:numPr>
          <w:ilvl w:val="0"/>
          <w:numId w:val="15"/>
        </w:numPr>
        <w:rPr/>
      </w:pPr>
      <w:bookmarkStart w:name="_Toc700061706" w:id="1190050615"/>
      <w:r w:rsidR="08AC3C49">
        <w:rPr/>
        <w:t>Pre-</w:t>
      </w:r>
      <w:r w:rsidR="47FC2BBD">
        <w:rPr/>
        <w:t>reading</w:t>
      </w:r>
      <w:r w:rsidR="32CC186D">
        <w:rPr/>
        <w:t>:</w:t>
      </w:r>
      <w:bookmarkEnd w:id="1190050615"/>
      <w:r w:rsidR="08AC3C49">
        <w:rPr/>
        <w:t xml:space="preserve"> </w:t>
      </w:r>
    </w:p>
    <w:p w:rsidRPr="00AF0CAD" w:rsidR="005F1CBD" w:rsidP="4DA6DD73" w:rsidRDefault="533114CD" w14:paraId="487C3F39" w14:textId="59CCB175">
      <w:pPr>
        <w:spacing w:line="360" w:lineRule="auto"/>
        <w:rPr>
          <w:rFonts w:ascii="Arial" w:hAnsi="Arial" w:cs="Arial"/>
          <w:sz w:val="24"/>
        </w:rPr>
      </w:pPr>
      <w:r w:rsidRPr="00AF0CAD">
        <w:rPr>
          <w:rFonts w:ascii="Arial" w:hAnsi="Arial" w:cs="Arial"/>
          <w:sz w:val="24"/>
        </w:rPr>
        <w:lastRenderedPageBreak/>
        <w:t xml:space="preserve">The successful completion of this course requires </w:t>
      </w:r>
      <w:r w:rsidRPr="00AF0CAD" w:rsidR="688EA036">
        <w:rPr>
          <w:rFonts w:ascii="Arial" w:hAnsi="Arial" w:cs="Arial"/>
          <w:sz w:val="24"/>
        </w:rPr>
        <w:t>knowledge</w:t>
      </w:r>
      <w:r w:rsidRPr="00AF0CAD" w:rsidR="01D64571">
        <w:rPr>
          <w:rFonts w:ascii="Arial" w:hAnsi="Arial" w:cs="Arial"/>
          <w:sz w:val="24"/>
        </w:rPr>
        <w:t xml:space="preserve"> and understanding</w:t>
      </w:r>
      <w:r w:rsidRPr="00AF0CAD" w:rsidR="688EA036">
        <w:rPr>
          <w:rFonts w:ascii="Arial" w:hAnsi="Arial" w:cs="Arial"/>
          <w:sz w:val="24"/>
        </w:rPr>
        <w:t xml:space="preserve"> of</w:t>
      </w:r>
      <w:r w:rsidRPr="00AF0CAD">
        <w:rPr>
          <w:rFonts w:ascii="Arial" w:hAnsi="Arial" w:cs="Arial"/>
          <w:sz w:val="24"/>
        </w:rPr>
        <w:t xml:space="preserve"> the following topics:</w:t>
      </w:r>
    </w:p>
    <w:p w:rsidRPr="00E552DD" w:rsidR="005F1CBD" w:rsidP="4ABB6A88" w:rsidRDefault="2F21DD45" w14:paraId="304B87CF" w14:textId="4BB229AA">
      <w:pPr>
        <w:pStyle w:val="Heading2"/>
        <w:rPr/>
      </w:pPr>
      <w:r w:rsidR="2F21DD45">
        <w:rPr/>
        <w:t xml:space="preserve"> </w:t>
      </w:r>
      <w:bookmarkStart w:name="_Toc33488350" w:id="1857391187"/>
      <w:r w:rsidR="56159179">
        <w:rPr/>
        <w:t>Prenatal genomics</w:t>
      </w:r>
      <w:bookmarkEnd w:id="1857391187"/>
    </w:p>
    <w:p w:rsidRPr="00F717A4" w:rsidR="00E552DD" w:rsidP="002A76B8" w:rsidRDefault="00E552DD" w14:paraId="6FC0E1FB" w14:textId="77777777">
      <w:pPr>
        <w:spacing w:line="360" w:lineRule="auto"/>
        <w:rPr>
          <w:rFonts w:ascii="Arial" w:hAnsi="Arial" w:cs="Arial"/>
          <w:sz w:val="24"/>
        </w:rPr>
      </w:pPr>
      <w:r w:rsidRPr="00F717A4">
        <w:rPr>
          <w:rFonts w:ascii="Arial" w:hAnsi="Arial" w:cs="Arial"/>
          <w:sz w:val="24"/>
        </w:rPr>
        <w:t>This overview introduces approaches to prenatal genomics testing (5 minutes read). Check the box after completing this reading activity.</w:t>
      </w:r>
    </w:p>
    <w:p w:rsidR="00E552DD" w:rsidP="00AF0CAD" w:rsidRDefault="00604335" w14:paraId="291C9A5D" w14:textId="0E33B9B7">
      <w:pPr>
        <w:spacing w:line="360" w:lineRule="auto"/>
        <w:rPr>
          <w:rStyle w:val="Hyperlink"/>
          <w:rFonts w:ascii="Arial" w:hAnsi="Arial" w:cs="Arial"/>
          <w:sz w:val="24"/>
          <w:szCs w:val="24"/>
        </w:rPr>
      </w:pPr>
      <w:sdt>
        <w:sdtPr>
          <w:id w:val="100000497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4"/>
            <w:szCs w:val="24"/>
          </w:rPr>
        </w:sdtPr>
        <w:sdtContent>
          <w:r w:rsidRPr="4DE84FC1" w:rsidR="34F27B42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rFonts w:ascii="Arial" w:hAnsi="Arial" w:cs="Arial"/>
            <w:sz w:val="24"/>
            <w:szCs w:val="24"/>
          </w:rPr>
        </w:sdtEndPr>
      </w:sdt>
      <w:r w:rsidRPr="4DE84FC1" w:rsidR="00E552DD">
        <w:rPr>
          <w:rFonts w:ascii="Arial" w:hAnsi="Arial" w:cs="Arial"/>
          <w:sz w:val="24"/>
          <w:szCs w:val="24"/>
        </w:rPr>
        <w:t xml:space="preserve"> </w:t>
      </w:r>
      <w:hyperlink r:id="Rebac6034096c4cf2">
        <w:r w:rsidRPr="4DE84FC1" w:rsidR="00E552DD">
          <w:rPr>
            <w:rStyle w:val="Hyperlink"/>
            <w:rFonts w:ascii="Arial" w:hAnsi="Arial" w:cs="Arial"/>
            <w:sz w:val="24"/>
            <w:szCs w:val="24"/>
          </w:rPr>
          <w:t>https://www.genomicseducation.hee.nhs.uk/blog/prenatal-genomics-an-overview/</w:t>
        </w:r>
      </w:hyperlink>
    </w:p>
    <w:p w:rsidRPr="00AF0CAD" w:rsidR="00272628" w:rsidP="00AF0CAD" w:rsidRDefault="00272628" w14:paraId="09CD5AB0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552DD" w:rsidP="4ABB6A88" w:rsidRDefault="2F21DD45" w14:paraId="0F0F022F" w14:textId="3152EB4D">
      <w:pPr>
        <w:pStyle w:val="Heading2"/>
        <w:rPr/>
      </w:pPr>
      <w:r w:rsidR="2F21DD45">
        <w:rPr/>
        <w:t xml:space="preserve"> </w:t>
      </w:r>
      <w:bookmarkStart w:name="_Toc1693465367" w:id="1950431484"/>
      <w:r w:rsidR="2F21DD45">
        <w:rPr/>
        <w:t>Exome sequencing</w:t>
      </w:r>
      <w:bookmarkEnd w:id="1950431484"/>
    </w:p>
    <w:p w:rsidRPr="002A76B8" w:rsidR="00AF0CAD" w:rsidP="005F1CBD" w:rsidRDefault="00AF0CAD" w14:paraId="5C506FA2" w14:textId="3D7F2F39">
      <w:pPr>
        <w:spacing w:line="360" w:lineRule="auto"/>
        <w:rPr>
          <w:rFonts w:ascii="Arial" w:hAnsi="Arial" w:cs="Arial"/>
        </w:rPr>
      </w:pPr>
      <w:bookmarkStart w:name="_Hlk171706391" w:id="8"/>
      <w:r w:rsidRPr="4DE84FC1" w:rsidR="00AF0CAD">
        <w:rPr>
          <w:rFonts w:ascii="Arial" w:hAnsi="Arial" w:cs="Arial"/>
        </w:rPr>
        <w:t xml:space="preserve">Review the clinical applications and limitations of exome sequencing in this </w:t>
      </w:r>
      <w:r w:rsidRPr="4DE84FC1" w:rsidR="168F628E">
        <w:rPr>
          <w:rFonts w:ascii="Arial" w:hAnsi="Arial" w:cs="Arial"/>
        </w:rPr>
        <w:t>web</w:t>
      </w:r>
      <w:r w:rsidRPr="4DE84FC1" w:rsidR="00AF0CAD">
        <w:rPr>
          <w:rFonts w:ascii="Arial" w:hAnsi="Arial" w:cs="Arial"/>
        </w:rPr>
        <w:t xml:space="preserve">page (30 minutes read including viewing all links to </w:t>
      </w:r>
      <w:r w:rsidRPr="4DE84FC1" w:rsidR="00AF0CAD">
        <w:rPr>
          <w:rFonts w:ascii="Arial" w:hAnsi="Arial" w:cs="Arial"/>
        </w:rPr>
        <w:t>additional</w:t>
      </w:r>
      <w:r w:rsidRPr="4DE84FC1" w:rsidR="00AF0CAD">
        <w:rPr>
          <w:rFonts w:ascii="Arial" w:hAnsi="Arial" w:cs="Arial"/>
        </w:rPr>
        <w:t xml:space="preserve"> pages and videos).</w:t>
      </w:r>
    </w:p>
    <w:bookmarkEnd w:id="8"/>
    <w:p w:rsidR="00E552DD" w:rsidP="005F1CBD" w:rsidRDefault="00604335" w14:paraId="10C9B91A" w14:textId="261CDA52">
      <w:pPr>
        <w:spacing w:line="360" w:lineRule="auto"/>
        <w:rPr>
          <w:rStyle w:val="Hyperlink"/>
          <w:rFonts w:ascii="Arial" w:hAnsi="Arial" w:cs="Arial"/>
        </w:rPr>
      </w:pPr>
      <w:sdt>
        <w:sdtPr>
          <w:rPr>
            <w:rFonts w:ascii="Arial" w:hAnsi="Arial" w:cs="Arial"/>
            <w:color w:val="0563C1"/>
            <w:u w:val="single"/>
          </w:rPr>
          <w:id w:val="-16554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CF4E60E" w:rsidR="56159179">
            <w:rPr>
              <w:rFonts w:ascii="MS Gothic" w:hAnsi="MS Gothic" w:eastAsia="MS Gothic" w:cs="Arial"/>
            </w:rPr>
            <w:t>☐</w:t>
          </w:r>
        </w:sdtContent>
      </w:sdt>
      <w:r w:rsidRPr="6CF4E60E" w:rsidR="56159179">
        <w:rPr>
          <w:rFonts w:ascii="Arial" w:hAnsi="Arial" w:cs="Arial"/>
        </w:rPr>
        <w:t xml:space="preserve"> </w:t>
      </w:r>
      <w:hyperlink r:id="rId11">
        <w:r w:rsidRPr="6CF4E60E" w:rsidR="47FC2BBD">
          <w:rPr>
            <w:rStyle w:val="Hyperlink"/>
            <w:rFonts w:ascii="Arial" w:hAnsi="Arial" w:cs="Arial"/>
          </w:rPr>
          <w:t>Exome sequencing</w:t>
        </w:r>
      </w:hyperlink>
    </w:p>
    <w:p w:rsidR="00272628" w:rsidP="005F1CBD" w:rsidRDefault="00272628" w14:paraId="3BF04119" w14:textId="77777777">
      <w:pPr>
        <w:spacing w:line="360" w:lineRule="auto"/>
        <w:rPr>
          <w:rStyle w:val="Hyperlink"/>
          <w:rFonts w:ascii="Arial" w:hAnsi="Arial" w:cs="Arial"/>
        </w:rPr>
      </w:pPr>
    </w:p>
    <w:p w:rsidR="00E552DD" w:rsidP="4ABB6A88" w:rsidRDefault="2F21DD45" w14:paraId="0C30A978" w14:textId="7DA8B5EF">
      <w:pPr>
        <w:pStyle w:val="Heading2"/>
        <w:rPr/>
      </w:pPr>
      <w:r w:rsidR="2F21DD45">
        <w:rPr/>
        <w:t xml:space="preserve"> </w:t>
      </w:r>
      <w:bookmarkStart w:name="_Toc1192308911" w:id="1566587612"/>
      <w:r w:rsidR="2F21DD45">
        <w:rPr/>
        <w:t>ACGS UK best practice guidelines</w:t>
      </w:r>
      <w:bookmarkEnd w:id="1566587612"/>
    </w:p>
    <w:p w:rsidR="00AF0CAD" w:rsidP="00AF0CAD" w:rsidRDefault="51B9AC1D" w14:paraId="749DDA62" w14:textId="068C634B">
      <w:pPr>
        <w:spacing w:line="360" w:lineRule="auto"/>
        <w:rPr>
          <w:rFonts w:ascii="Arial" w:hAnsi="Arial" w:cs="Arial"/>
        </w:rPr>
      </w:pPr>
      <w:r w:rsidRPr="4ABB6A88">
        <w:rPr>
          <w:rFonts w:ascii="Arial" w:hAnsi="Arial" w:cs="Arial"/>
        </w:rPr>
        <w:t>The interpretation of SNVs and CNVs is based on professional guidelines that are subject to constant updates</w:t>
      </w:r>
      <w:r w:rsidRPr="4ABB6A88" w:rsidR="08A49173">
        <w:rPr>
          <w:rFonts w:ascii="Arial" w:hAnsi="Arial" w:cs="Arial"/>
        </w:rPr>
        <w:t xml:space="preserve">, whilst underpinned by </w:t>
      </w:r>
      <w:r w:rsidRPr="4ABB6A88" w:rsidR="1FC504CB">
        <w:rPr>
          <w:rFonts w:ascii="Arial" w:hAnsi="Arial" w:cs="Arial"/>
        </w:rPr>
        <w:t xml:space="preserve">logical </w:t>
      </w:r>
      <w:r w:rsidRPr="4ABB6A88" w:rsidR="3339227F">
        <w:rPr>
          <w:rFonts w:ascii="Arial" w:hAnsi="Arial" w:cs="Arial"/>
        </w:rPr>
        <w:t>biological p</w:t>
      </w:r>
      <w:r w:rsidRPr="4ABB6A88" w:rsidR="4A8641DE">
        <w:rPr>
          <w:rFonts w:ascii="Arial" w:hAnsi="Arial" w:cs="Arial"/>
        </w:rPr>
        <w:t>rinciples</w:t>
      </w:r>
      <w:r w:rsidRPr="4ABB6A88" w:rsidR="5B243345">
        <w:rPr>
          <w:rFonts w:ascii="Arial" w:hAnsi="Arial" w:cs="Arial"/>
        </w:rPr>
        <w:t>, such as variant r</w:t>
      </w:r>
      <w:r w:rsidRPr="4ABB6A88" w:rsidR="349F7164">
        <w:rPr>
          <w:rFonts w:ascii="Arial" w:hAnsi="Arial" w:cs="Arial"/>
        </w:rPr>
        <w:t>arity</w:t>
      </w:r>
      <w:r w:rsidRPr="4ABB6A88" w:rsidR="66418A0F">
        <w:rPr>
          <w:rFonts w:ascii="Arial" w:hAnsi="Arial" w:cs="Arial"/>
        </w:rPr>
        <w:t>, supportive in silico prediction</w:t>
      </w:r>
      <w:r w:rsidRPr="4ABB6A88" w:rsidR="0A03DD0B">
        <w:rPr>
          <w:rFonts w:ascii="Arial" w:hAnsi="Arial" w:cs="Arial"/>
        </w:rPr>
        <w:t>s</w:t>
      </w:r>
      <w:r w:rsidRPr="4ABB6A88" w:rsidR="7F9255DF">
        <w:rPr>
          <w:rFonts w:ascii="Arial" w:hAnsi="Arial" w:cs="Arial"/>
        </w:rPr>
        <w:t xml:space="preserve"> and </w:t>
      </w:r>
      <w:r w:rsidRPr="4ABB6A88" w:rsidR="385B3394">
        <w:rPr>
          <w:rFonts w:ascii="Arial" w:hAnsi="Arial" w:cs="Arial"/>
        </w:rPr>
        <w:t>s</w:t>
      </w:r>
      <w:r w:rsidRPr="4ABB6A88" w:rsidR="4E20DAAB">
        <w:rPr>
          <w:rFonts w:ascii="Arial" w:hAnsi="Arial" w:cs="Arial"/>
        </w:rPr>
        <w:t>egregation with disease</w:t>
      </w:r>
      <w:r w:rsidRPr="4ABB6A88" w:rsidR="7805632F">
        <w:rPr>
          <w:rFonts w:ascii="Arial" w:hAnsi="Arial" w:cs="Arial"/>
        </w:rPr>
        <w:t>, for example.</w:t>
      </w:r>
    </w:p>
    <w:p w:rsidR="70DFCB97" w:rsidP="4ABB6A88" w:rsidRDefault="70DFCB97" w14:paraId="78525764" w14:textId="4A059CA3">
      <w:pPr>
        <w:spacing w:line="360" w:lineRule="auto"/>
        <w:rPr>
          <w:rFonts w:ascii="Arial" w:hAnsi="Arial" w:cs="Arial"/>
        </w:rPr>
      </w:pPr>
      <w:r w:rsidRPr="4ABB6A88">
        <w:rPr>
          <w:rFonts w:ascii="Arial" w:hAnsi="Arial" w:cs="Arial"/>
        </w:rPr>
        <w:t>A brief overview of the guidelines is given in the following three videos:</w:t>
      </w:r>
    </w:p>
    <w:p w:rsidR="70DFCB97" w:rsidP="6CF4E60E" w:rsidRDefault="70DFCB97" w14:paraId="51E7F85A" w14:textId="54EB2030">
      <w:pPr>
        <w:spacing w:line="360" w:lineRule="auto"/>
        <w:rPr>
          <w:rFonts w:ascii="Arial" w:hAnsi="Arial" w:cs="Arial"/>
          <w:highlight w:val="yellow"/>
        </w:rPr>
      </w:pPr>
      <w:r w:rsidRPr="6CF4E60E">
        <w:rPr>
          <w:rFonts w:ascii="Arial" w:hAnsi="Arial" w:cs="Arial"/>
          <w:highlight w:val="yellow"/>
        </w:rPr>
        <w:t>Add links</w:t>
      </w:r>
    </w:p>
    <w:p w:rsidR="4ABB6A88" w:rsidP="4ABB6A88" w:rsidRDefault="4ABB6A88" w14:paraId="7CDC0DAD" w14:textId="6CA2C255">
      <w:pPr>
        <w:spacing w:line="360" w:lineRule="auto"/>
        <w:rPr>
          <w:rFonts w:ascii="Arial" w:hAnsi="Arial" w:cs="Arial"/>
        </w:rPr>
      </w:pPr>
    </w:p>
    <w:p w:rsidR="00AF0CAD" w:rsidP="00AF0CAD" w:rsidRDefault="51B9AC1D" w14:paraId="590922DB" w14:textId="42A85C6D">
      <w:pPr>
        <w:spacing w:line="360" w:lineRule="auto"/>
        <w:rPr>
          <w:rStyle w:val="Hyperlink"/>
          <w:rFonts w:ascii="Arial" w:hAnsi="Arial" w:cs="Arial"/>
        </w:rPr>
      </w:pPr>
      <w:r w:rsidRPr="4ABB6A88">
        <w:rPr>
          <w:rFonts w:ascii="Arial" w:hAnsi="Arial" w:cs="Arial"/>
        </w:rPr>
        <w:t xml:space="preserve">Learners are encouraged to complete the Massive Open Online Course (MOOC) in Genetic Variation and ACMG guidelines, which can be accessed </w:t>
      </w:r>
      <w:hyperlink r:id="rId12">
        <w:r w:rsidRPr="4ABB6A88">
          <w:rPr>
            <w:rStyle w:val="Hyperlink"/>
            <w:rFonts w:ascii="Arial" w:hAnsi="Arial" w:cs="Arial"/>
          </w:rPr>
          <w:t>here</w:t>
        </w:r>
      </w:hyperlink>
      <w:r w:rsidRPr="4ABB6A88">
        <w:rPr>
          <w:rFonts w:ascii="Arial" w:hAnsi="Arial" w:cs="Arial"/>
        </w:rPr>
        <w:t>. Knowledge of variant interpretation in cancer genes is not the focus of this course, but learners who wish to</w:t>
      </w:r>
      <w:r w:rsidR="009A0F08">
        <w:rPr>
          <w:rFonts w:ascii="Arial" w:hAnsi="Arial" w:cs="Arial"/>
        </w:rPr>
        <w:t xml:space="preserve"> start</w:t>
      </w:r>
      <w:r w:rsidRPr="4ABB6A88">
        <w:rPr>
          <w:rFonts w:ascii="Arial" w:hAnsi="Arial" w:cs="Arial"/>
        </w:rPr>
        <w:t xml:space="preserve"> gain</w:t>
      </w:r>
      <w:r w:rsidR="009A0F08">
        <w:rPr>
          <w:rFonts w:ascii="Arial" w:hAnsi="Arial" w:cs="Arial"/>
        </w:rPr>
        <w:t>ing</w:t>
      </w:r>
      <w:r w:rsidRPr="4ABB6A88">
        <w:rPr>
          <w:rFonts w:ascii="Arial" w:hAnsi="Arial" w:cs="Arial"/>
        </w:rPr>
        <w:t xml:space="preserve"> knowledge in this area at this stage, may access the MOOC on </w:t>
      </w:r>
      <w:hyperlink r:id="rId13">
        <w:r w:rsidRPr="4ABB6A88">
          <w:rPr>
            <w:rStyle w:val="Hyperlink"/>
            <w:rFonts w:ascii="Arial" w:hAnsi="Arial" w:cs="Arial"/>
          </w:rPr>
          <w:t xml:space="preserve">Interpreting Genomic Variation: Inherited Cancer Susceptibility. </w:t>
        </w:r>
      </w:hyperlink>
      <w:r w:rsidRPr="4ABB6A88">
        <w:rPr>
          <w:rStyle w:val="Hyperlink"/>
          <w:rFonts w:ascii="Arial" w:hAnsi="Arial" w:cs="Arial"/>
        </w:rPr>
        <w:t xml:space="preserve"> </w:t>
      </w:r>
    </w:p>
    <w:p w:rsidR="00AF0CAD" w:rsidP="00AF0CAD" w:rsidRDefault="2F3FDF11" w14:paraId="26CE7271" w14:textId="5AEA77B9">
      <w:pPr>
        <w:spacing w:line="360" w:lineRule="auto"/>
        <w:rPr>
          <w:rFonts w:ascii="Arial" w:hAnsi="Arial" w:cs="Arial"/>
        </w:rPr>
      </w:pPr>
      <w:r w:rsidRPr="7027B170" w:rsidR="2F3FDF11">
        <w:rPr>
          <w:rFonts w:ascii="Arial" w:hAnsi="Arial" w:cs="Arial"/>
        </w:rPr>
        <w:t xml:space="preserve">The latest version of the UK guidelines for interpretation of variants in rare disease is </w:t>
      </w:r>
      <w:r w:rsidRPr="7027B170" w:rsidR="6925CF97">
        <w:rPr>
          <w:rFonts w:ascii="Arial" w:hAnsi="Arial" w:cs="Arial"/>
        </w:rPr>
        <w:t xml:space="preserve">available </w:t>
      </w:r>
      <w:hyperlink r:id="R41e7f9c544a64963">
        <w:r w:rsidRPr="7027B170" w:rsidR="6925CF97">
          <w:rPr>
            <w:rStyle w:val="Hyperlink"/>
            <w:rFonts w:ascii="Arial" w:hAnsi="Arial" w:cs="Arial"/>
          </w:rPr>
          <w:t>here</w:t>
        </w:r>
      </w:hyperlink>
      <w:r w:rsidRPr="7027B170" w:rsidR="6925CF97">
        <w:rPr>
          <w:rFonts w:ascii="Arial" w:hAnsi="Arial" w:cs="Arial"/>
        </w:rPr>
        <w:t>.</w:t>
      </w:r>
    </w:p>
    <w:p w:rsidR="4ABB6A88" w:rsidP="7027B170" w:rsidRDefault="4ABB6A88" w14:paraId="36FA937D" w14:textId="29C5B443">
      <w:pPr>
        <w:spacing w:line="360" w:lineRule="auto"/>
        <w:ind/>
        <w:rPr>
          <w:rFonts w:ascii="Arial" w:hAnsi="Arial" w:cs="Arial"/>
        </w:rPr>
      </w:pPr>
    </w:p>
    <w:p w:rsidR="4ABB6A88" w:rsidP="7027B170" w:rsidRDefault="4ABB6A88" w14:paraId="3C5DA3E9" w14:textId="1F7AD56F">
      <w:pPr>
        <w:pStyle w:val="Heading1"/>
        <w:numPr>
          <w:ilvl w:val="0"/>
          <w:numId w:val="15"/>
        </w:numPr>
        <w:ind/>
        <w:rPr>
          <w:rFonts w:eastAsia="" w:eastAsiaTheme="minorEastAsia"/>
          <w:b w:val="1"/>
          <w:bCs w:val="1"/>
          <w:color w:val="2F5496" w:themeColor="accent1" w:themeTint="FF" w:themeShade="BF"/>
          <w:sz w:val="28"/>
          <w:szCs w:val="28"/>
        </w:rPr>
      </w:pPr>
      <w:bookmarkStart w:name="_Toc488441615" w:id="427240626"/>
      <w:r w:rsidR="4E8CD23A">
        <w:rPr/>
        <w:t>Databases and other tools for variant interpretation evidence gathering</w:t>
      </w:r>
      <w:bookmarkEnd w:id="427240626"/>
    </w:p>
    <w:p w:rsidR="4ABB6A88" w:rsidP="7027B170" w:rsidRDefault="4ABB6A88" w14:paraId="09F8A0D4" w14:textId="683C9AB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7027B170" w:rsidR="2309DD58">
        <w:rPr>
          <w:rFonts w:ascii="Arial" w:hAnsi="Arial" w:cs="Arial"/>
          <w:sz w:val="24"/>
          <w:szCs w:val="24"/>
        </w:rPr>
        <w:t>Assessing variants relies on collecting information on the gene, the phenotype</w:t>
      </w:r>
      <w:r w:rsidRPr="7027B170" w:rsidR="77C946EF">
        <w:rPr>
          <w:rFonts w:ascii="Arial" w:hAnsi="Arial" w:cs="Arial"/>
          <w:sz w:val="24"/>
          <w:szCs w:val="24"/>
        </w:rPr>
        <w:t xml:space="preserve">, the </w:t>
      </w:r>
      <w:r w:rsidRPr="7027B170" w:rsidR="77C946EF">
        <w:rPr>
          <w:rFonts w:ascii="Arial" w:hAnsi="Arial" w:cs="Arial"/>
          <w:sz w:val="24"/>
          <w:szCs w:val="24"/>
        </w:rPr>
        <w:t>genotype</w:t>
      </w:r>
      <w:r w:rsidRPr="7027B170" w:rsidR="77C946EF">
        <w:rPr>
          <w:rFonts w:ascii="Arial" w:hAnsi="Arial" w:cs="Arial"/>
          <w:sz w:val="24"/>
          <w:szCs w:val="24"/>
        </w:rPr>
        <w:t xml:space="preserve"> and the </w:t>
      </w:r>
      <w:r w:rsidRPr="7027B170" w:rsidR="6D232C95">
        <w:rPr>
          <w:rFonts w:ascii="Arial" w:hAnsi="Arial" w:cs="Arial"/>
          <w:sz w:val="24"/>
          <w:szCs w:val="24"/>
        </w:rPr>
        <w:t>characteristics</w:t>
      </w:r>
      <w:r w:rsidRPr="7027B170" w:rsidR="2309DD58">
        <w:rPr>
          <w:rFonts w:ascii="Arial" w:hAnsi="Arial" w:cs="Arial"/>
          <w:sz w:val="24"/>
          <w:szCs w:val="24"/>
        </w:rPr>
        <w:t xml:space="preserve"> of the variant</w:t>
      </w:r>
      <w:r w:rsidRPr="7027B170" w:rsidR="0F5A053A">
        <w:rPr>
          <w:rFonts w:ascii="Arial" w:hAnsi="Arial" w:cs="Arial"/>
          <w:sz w:val="24"/>
          <w:szCs w:val="24"/>
        </w:rPr>
        <w:t>(s)</w:t>
      </w:r>
      <w:r w:rsidRPr="7027B170" w:rsidR="2309DD58">
        <w:rPr>
          <w:rFonts w:ascii="Arial" w:hAnsi="Arial" w:cs="Arial"/>
          <w:sz w:val="24"/>
          <w:szCs w:val="24"/>
        </w:rPr>
        <w:t xml:space="preserve"> </w:t>
      </w:r>
      <w:r w:rsidRPr="7027B170" w:rsidR="3B6C1028">
        <w:rPr>
          <w:rFonts w:ascii="Arial" w:hAnsi="Arial" w:cs="Arial"/>
          <w:sz w:val="24"/>
          <w:szCs w:val="24"/>
        </w:rPr>
        <w:t>under investigation</w:t>
      </w:r>
      <w:r w:rsidRPr="7027B170" w:rsidR="2309DD58">
        <w:rPr>
          <w:rFonts w:ascii="Arial" w:hAnsi="Arial" w:cs="Arial"/>
          <w:sz w:val="24"/>
          <w:szCs w:val="24"/>
        </w:rPr>
        <w:t>. A vast suite of databases and dat</w:t>
      </w:r>
      <w:r w:rsidRPr="7027B170" w:rsidR="45CF4AC8">
        <w:rPr>
          <w:rFonts w:ascii="Arial" w:hAnsi="Arial" w:cs="Arial"/>
          <w:sz w:val="24"/>
          <w:szCs w:val="24"/>
        </w:rPr>
        <w:t>a</w:t>
      </w:r>
      <w:r w:rsidRPr="7027B170" w:rsidR="2309DD58">
        <w:rPr>
          <w:rFonts w:ascii="Arial" w:hAnsi="Arial" w:cs="Arial"/>
          <w:sz w:val="24"/>
          <w:szCs w:val="24"/>
        </w:rPr>
        <w:t>sets are useful in this process</w:t>
      </w:r>
      <w:r w:rsidRPr="7027B170" w:rsidR="021DCCEB">
        <w:rPr>
          <w:rFonts w:ascii="Arial" w:hAnsi="Arial" w:cs="Arial"/>
          <w:sz w:val="24"/>
          <w:szCs w:val="24"/>
        </w:rPr>
        <w:t>.</w:t>
      </w:r>
    </w:p>
    <w:p w:rsidR="4ABB6A88" w:rsidP="7027B170" w:rsidRDefault="4ABB6A88" w14:paraId="161A56A5" w14:textId="5037728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AF0CAD" w:rsidP="7027B170" w:rsidRDefault="0648A98C" w14:paraId="4517D270" w14:textId="7D38A28E">
      <w:pPr>
        <w:pStyle w:val="Heading2"/>
        <w:numPr>
          <w:ilvl w:val="0"/>
          <w:numId w:val="0"/>
        </w:numPr>
        <w:suppressLineNumbers w:val="0"/>
        <w:bidi w:val="0"/>
        <w:spacing w:before="40" w:beforeAutospacing="off" w:after="0" w:afterAutospacing="off" w:line="276" w:lineRule="auto"/>
        <w:ind w:left="1440" w:right="0" w:hanging="360"/>
        <w:jc w:val="left"/>
      </w:pPr>
      <w:bookmarkStart w:name="_Toc2106007283" w:id="1610353782"/>
      <w:r w:rsidR="021DCCEB">
        <w:rPr/>
        <w:t xml:space="preserve">6.1 </w:t>
      </w:r>
      <w:r w:rsidR="5C75467E">
        <w:rPr/>
        <w:t>Gene and phenotype information</w:t>
      </w:r>
      <w:bookmarkEnd w:id="1610353782"/>
    </w:p>
    <w:p w:rsidR="00E26646" w:rsidP="7027B170" w:rsidRDefault="00E26646" w14:paraId="59FCE568" w14:textId="434C35D6">
      <w:pPr>
        <w:pStyle w:val="Normal"/>
        <w:bidi w:val="0"/>
      </w:pPr>
    </w:p>
    <w:p w:rsidR="00E26646" w:rsidP="6CF4E60E" w:rsidRDefault="00E26646" w14:paraId="66CA0BF4" w14:textId="05FFC6F4">
      <w:pPr>
        <w:spacing w:line="360" w:lineRule="auto"/>
        <w:rPr>
          <w:rFonts w:ascii="Arial" w:hAnsi="Arial" w:cs="Arial"/>
        </w:rPr>
      </w:pPr>
      <w:bookmarkStart w:name="_GoBack" w:id="11"/>
      <w:r>
        <w:rPr>
          <w:noProof/>
        </w:rPr>
        <w:drawing>
          <wp:inline distT="0" distB="0" distL="0" distR="0" wp14:anchorId="4080375D" wp14:editId="1F3F2A47">
            <wp:extent cx="3095625" cy="1570105"/>
            <wp:effectExtent l="19050" t="19050" r="952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412" cy="1584706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11"/>
    </w:p>
    <w:p w:rsidR="002A76B8" w:rsidP="002A76B8" w:rsidRDefault="00604335" w14:paraId="6545FF81" w14:textId="49D93D02">
      <w:pPr>
        <w:spacing w:line="360" w:lineRule="auto"/>
        <w:rPr>
          <w:rFonts w:ascii="Arial" w:hAnsi="Arial" w:cs="Arial"/>
        </w:rPr>
      </w:pPr>
      <w:hyperlink w:history="1" r:id="rId16">
        <w:r w:rsidRPr="00B508F5" w:rsidR="002A76B8">
          <w:rPr>
            <w:rStyle w:val="Hyperlink"/>
            <w:rFonts w:ascii="Arial" w:hAnsi="Arial" w:cs="Arial"/>
          </w:rPr>
          <w:t>https://www.omim.org/</w:t>
        </w:r>
      </w:hyperlink>
    </w:p>
    <w:p w:rsidR="002A76B8" w:rsidP="002A76B8" w:rsidRDefault="002A76B8" w14:paraId="67916E49" w14:textId="18D532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OMIM provides a</w:t>
      </w:r>
      <w:r w:rsidRPr="002A76B8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o</w:t>
      </w:r>
      <w:r w:rsidRPr="002A76B8">
        <w:rPr>
          <w:rFonts w:ascii="Arial" w:hAnsi="Arial" w:cs="Arial"/>
        </w:rPr>
        <w:t xml:space="preserve">nline </w:t>
      </w:r>
      <w:r>
        <w:rPr>
          <w:rFonts w:ascii="Arial" w:hAnsi="Arial" w:cs="Arial"/>
        </w:rPr>
        <w:t>c</w:t>
      </w:r>
      <w:r w:rsidRPr="002A76B8">
        <w:rPr>
          <w:rFonts w:ascii="Arial" w:hAnsi="Arial" w:cs="Arial"/>
        </w:rPr>
        <w:t>atalog</w:t>
      </w:r>
      <w:r>
        <w:rPr>
          <w:rFonts w:ascii="Arial" w:hAnsi="Arial" w:cs="Arial"/>
        </w:rPr>
        <w:t>ue</w:t>
      </w:r>
      <w:r w:rsidRPr="002A76B8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h</w:t>
      </w:r>
      <w:r w:rsidRPr="002A76B8">
        <w:rPr>
          <w:rFonts w:ascii="Arial" w:hAnsi="Arial" w:cs="Arial"/>
        </w:rPr>
        <w:t xml:space="preserve">uman </w:t>
      </w:r>
      <w:r>
        <w:rPr>
          <w:rFonts w:ascii="Arial" w:hAnsi="Arial" w:cs="Arial"/>
        </w:rPr>
        <w:t>g</w:t>
      </w:r>
      <w:r w:rsidRPr="002A76B8">
        <w:rPr>
          <w:rFonts w:ascii="Arial" w:hAnsi="Arial" w:cs="Arial"/>
        </w:rPr>
        <w:t xml:space="preserve">enes and </w:t>
      </w:r>
      <w:r>
        <w:rPr>
          <w:rFonts w:ascii="Arial" w:hAnsi="Arial" w:cs="Arial"/>
        </w:rPr>
        <w:t>g</w:t>
      </w:r>
      <w:r w:rsidRPr="002A76B8">
        <w:rPr>
          <w:rFonts w:ascii="Arial" w:hAnsi="Arial" w:cs="Arial"/>
        </w:rPr>
        <w:t xml:space="preserve">enetic </w:t>
      </w:r>
      <w:r>
        <w:rPr>
          <w:rFonts w:ascii="Arial" w:hAnsi="Arial" w:cs="Arial"/>
        </w:rPr>
        <w:t>conditions. The clinical synops</w:t>
      </w:r>
      <w:r w:rsidR="00E266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function </w:t>
      </w:r>
      <w:r w:rsidR="00E26646">
        <w:rPr>
          <w:rFonts w:ascii="Arial" w:hAnsi="Arial" w:cs="Arial"/>
        </w:rPr>
        <w:t xml:space="preserve">(click on phenotype number after conducting a search by gene name) </w:t>
      </w:r>
      <w:r>
        <w:rPr>
          <w:rFonts w:ascii="Arial" w:hAnsi="Arial" w:cs="Arial"/>
        </w:rPr>
        <w:t>summarises the phenotypes described in the literature. The website provides details of gene function and a limited number of previously reported variants.</w:t>
      </w:r>
    </w:p>
    <w:p w:rsidR="00E26646" w:rsidP="002A76B8" w:rsidRDefault="00E26646" w14:paraId="288164E8" w14:textId="082FE73E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C6F3A4" wp14:editId="41B57D88">
            <wp:extent cx="4333875" cy="203777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74376" cy="205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46" w:rsidP="002A76B8" w:rsidRDefault="00E26646" w14:paraId="01E15668" w14:textId="77777777">
      <w:pPr>
        <w:spacing w:line="360" w:lineRule="auto"/>
        <w:rPr>
          <w:rFonts w:ascii="Arial" w:hAnsi="Arial" w:cs="Arial"/>
        </w:rPr>
      </w:pPr>
    </w:p>
    <w:p w:rsidR="00E26646" w:rsidP="002A76B8" w:rsidRDefault="00E26646" w14:paraId="20424DF6" w14:textId="08D41520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B3B226C" wp14:editId="03858DD3">
            <wp:extent cx="3971925" cy="18165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6027" cy="182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B8" w:rsidP="002A76B8" w:rsidRDefault="00604335" w14:paraId="0DBBB373" w14:textId="47DDCD40">
      <w:pPr>
        <w:spacing w:line="360" w:lineRule="auto"/>
        <w:rPr>
          <w:rFonts w:ascii="Arial" w:hAnsi="Arial" w:cs="Arial"/>
        </w:rPr>
      </w:pPr>
      <w:hyperlink w:history="1" r:id="rId19">
        <w:r w:rsidRPr="00B508F5" w:rsidR="002A76B8">
          <w:rPr>
            <w:rStyle w:val="Hyperlink"/>
            <w:rFonts w:ascii="Arial" w:hAnsi="Arial" w:cs="Arial"/>
          </w:rPr>
          <w:t>https://www.ncbi.nlm.nih.gov/books/NBK1116/</w:t>
        </w:r>
      </w:hyperlink>
    </w:p>
    <w:p w:rsidR="000C1B28" w:rsidP="00E26646" w:rsidRDefault="00E26646" w14:paraId="096C0641" w14:textId="03AC3B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GeneReviews</w:t>
      </w:r>
      <w:proofErr w:type="spellEnd"/>
      <w:r>
        <w:rPr>
          <w:rFonts w:ascii="Arial" w:hAnsi="Arial" w:cs="Arial"/>
        </w:rPr>
        <w:t xml:space="preserve"> </w:t>
      </w:r>
      <w:r w:rsidRPr="6CF4E60E" w:rsidR="002A76B8">
        <w:rPr>
          <w:rFonts w:ascii="Arial" w:hAnsi="Arial" w:cs="Arial"/>
        </w:rPr>
        <w:t xml:space="preserve">database </w:t>
      </w:r>
      <w:r w:rsidRPr="6CF4E60E" w:rsidR="000C1B28">
        <w:rPr>
          <w:rFonts w:ascii="Arial" w:hAnsi="Arial" w:cs="Arial"/>
        </w:rPr>
        <w:t>provides comprehensible descriptions of the clinical features of different disorders, differential diagnoses, testing approaches and types of variants reported.</w:t>
      </w:r>
    </w:p>
    <w:p w:rsidR="000C1B28" w:rsidP="000C1B28" w:rsidRDefault="000C1B28" w14:paraId="56E7A6C8" w14:textId="0FF63AE0">
      <w:pPr>
        <w:rPr>
          <w:rFonts w:ascii="Arial" w:hAnsi="Arial" w:cs="Arial"/>
        </w:rPr>
      </w:pPr>
    </w:p>
    <w:p w:rsidRPr="000C1B28" w:rsidR="000C1B28" w:rsidP="7027B170" w:rsidRDefault="000C1B28" w14:paraId="56D60559" w14:textId="1E23F9F7">
      <w:pPr>
        <w:pStyle w:val="Heading2"/>
        <w:numPr>
          <w:ilvl w:val="0"/>
          <w:numId w:val="0"/>
        </w:numPr>
        <w:suppressLineNumbers w:val="0"/>
        <w:bidi w:val="0"/>
        <w:spacing w:before="40" w:beforeAutospacing="off" w:after="0" w:afterAutospacing="off" w:line="276" w:lineRule="auto"/>
        <w:ind w:left="1440" w:right="0" w:hanging="360"/>
        <w:jc w:val="left"/>
      </w:pPr>
      <w:bookmarkStart w:name="_Toc1394930403" w:id="1484128425"/>
      <w:r w:rsidR="2E5E3BD2">
        <w:rPr/>
        <w:t>6.2 Population databases</w:t>
      </w:r>
      <w:bookmarkEnd w:id="1484128425"/>
    </w:p>
    <w:p w:rsidRPr="000C1B28" w:rsidR="000C1B28" w:rsidP="000C1B28" w:rsidRDefault="000C1B28" w14:paraId="743D4C48" w14:textId="70E6EFEA">
      <w:pPr>
        <w:rPr>
          <w:rFonts w:ascii="Arial" w:hAnsi="Arial" w:cs="Arial"/>
        </w:rPr>
      </w:pPr>
    </w:p>
    <w:p w:rsidRPr="00E26646" w:rsidR="00E26646" w:rsidP="00E26646" w:rsidRDefault="00E26646" w14:paraId="7CBF93CB" w14:textId="5C95D259">
      <w:r>
        <w:rPr>
          <w:noProof/>
        </w:rPr>
        <w:drawing>
          <wp:inline distT="0" distB="0" distL="0" distR="0" wp14:anchorId="7AB3870E" wp14:editId="13BA2673">
            <wp:extent cx="3971925" cy="2480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8295" cy="249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68E8AD" w:rsidP="6CF4E60E" w:rsidRDefault="6F68E8AD" w14:paraId="3744CA32" w14:textId="3654670A">
      <w:pPr>
        <w:spacing w:line="360" w:lineRule="auto"/>
        <w:rPr>
          <w:rFonts w:ascii="Arial" w:hAnsi="Arial" w:cs="Arial"/>
        </w:rPr>
      </w:pPr>
      <w:r w:rsidRPr="6CF4E60E">
        <w:rPr>
          <w:rFonts w:ascii="Arial" w:hAnsi="Arial" w:cs="Arial"/>
        </w:rPr>
        <w:t>The Genome Aggregation Database (</w:t>
      </w:r>
      <w:proofErr w:type="spellStart"/>
      <w:r w:rsidR="00604335">
        <w:fldChar w:fldCharType="begin"/>
      </w:r>
      <w:r w:rsidR="00604335">
        <w:instrText xml:space="preserve"> HYPERLINK "https://gnomad.broadinstitute.org/" \h </w:instrText>
      </w:r>
      <w:r w:rsidR="00604335">
        <w:fldChar w:fldCharType="separate"/>
      </w:r>
      <w:r w:rsidRPr="6CF4E60E">
        <w:rPr>
          <w:rStyle w:val="Hyperlink"/>
          <w:rFonts w:ascii="Arial" w:hAnsi="Arial" w:cs="Arial"/>
        </w:rPr>
        <w:t>gnomAD</w:t>
      </w:r>
      <w:proofErr w:type="spellEnd"/>
      <w:r w:rsidR="00604335">
        <w:rPr>
          <w:rStyle w:val="Hyperlink"/>
          <w:rFonts w:ascii="Arial" w:hAnsi="Arial" w:cs="Arial"/>
        </w:rPr>
        <w:fldChar w:fldCharType="end"/>
      </w:r>
      <w:r w:rsidRPr="6CF4E60E">
        <w:rPr>
          <w:rFonts w:ascii="Arial" w:hAnsi="Arial" w:cs="Arial"/>
        </w:rPr>
        <w:t xml:space="preserve">) </w:t>
      </w:r>
      <w:r w:rsidRPr="6CF4E60E" w:rsidR="36F5184D">
        <w:rPr>
          <w:rFonts w:ascii="Arial" w:hAnsi="Arial" w:cs="Arial"/>
        </w:rPr>
        <w:t xml:space="preserve">is </w:t>
      </w:r>
      <w:r w:rsidRPr="6CF4E60E">
        <w:rPr>
          <w:rFonts w:ascii="Arial" w:hAnsi="Arial" w:cs="Arial"/>
        </w:rPr>
        <w:t xml:space="preserve">one of the most comprehensive resources </w:t>
      </w:r>
      <w:r w:rsidRPr="6CF4E60E" w:rsidR="314B9968">
        <w:rPr>
          <w:rFonts w:ascii="Arial" w:hAnsi="Arial" w:cs="Arial"/>
        </w:rPr>
        <w:t>for</w:t>
      </w:r>
      <w:r w:rsidRPr="6CF4E60E">
        <w:rPr>
          <w:rFonts w:ascii="Arial" w:hAnsi="Arial" w:cs="Arial"/>
        </w:rPr>
        <w:t xml:space="preserve"> </w:t>
      </w:r>
      <w:r w:rsidRPr="6CF4E60E" w:rsidR="314B9968">
        <w:rPr>
          <w:rFonts w:ascii="Arial" w:hAnsi="Arial" w:cs="Arial"/>
        </w:rPr>
        <w:t>variants identified by whole exome or whole genome sequencing.</w:t>
      </w:r>
    </w:p>
    <w:p w:rsidR="53F9A426" w:rsidP="6CF4E60E" w:rsidRDefault="53F9A426" w14:paraId="42874990" w14:textId="30D9F536">
      <w:pPr>
        <w:spacing w:line="360" w:lineRule="auto"/>
        <w:rPr>
          <w:rFonts w:ascii="Arial" w:hAnsi="Arial" w:cs="Arial"/>
        </w:rPr>
      </w:pPr>
      <w:r w:rsidRPr="6CF4E60E">
        <w:rPr>
          <w:rFonts w:ascii="Arial" w:hAnsi="Arial" w:cs="Arial"/>
        </w:rPr>
        <w:t>The v4</w:t>
      </w:r>
      <w:r w:rsidRPr="6CF4E60E" w:rsidR="5751EC7A">
        <w:rPr>
          <w:rFonts w:ascii="Arial" w:hAnsi="Arial" w:cs="Arial"/>
        </w:rPr>
        <w:t>.1</w:t>
      </w:r>
      <w:r w:rsidRPr="6CF4E60E">
        <w:rPr>
          <w:rFonts w:ascii="Arial" w:hAnsi="Arial" w:cs="Arial"/>
        </w:rPr>
        <w:t xml:space="preserve"> data set (GRCh38) includes 730,947 exome sequences and 76,215 whole-genome sequences from unrelated individuals, of diverse ancestries, sequenced as part of various disease-specific and population genetic studies. This dataset is considered a reliable proxy</w:t>
      </w:r>
      <w:r w:rsidRPr="6CF4E60E" w:rsidR="4FFE1164">
        <w:rPr>
          <w:rFonts w:ascii="Arial" w:hAnsi="Arial" w:cs="Arial"/>
        </w:rPr>
        <w:t xml:space="preserve"> of</w:t>
      </w:r>
      <w:r w:rsidRPr="6CF4E60E">
        <w:rPr>
          <w:rFonts w:ascii="Arial" w:hAnsi="Arial" w:cs="Arial"/>
        </w:rPr>
        <w:t xml:space="preserve"> normal</w:t>
      </w:r>
      <w:r w:rsidRPr="6CF4E60E" w:rsidR="3448E78A">
        <w:rPr>
          <w:rFonts w:ascii="Arial" w:hAnsi="Arial" w:cs="Arial"/>
        </w:rPr>
        <w:t xml:space="preserve"> populations, which should be interpreted as free of severe, early-onset </w:t>
      </w:r>
      <w:proofErr w:type="spellStart"/>
      <w:r w:rsidRPr="6CF4E60E" w:rsidR="3448E78A">
        <w:rPr>
          <w:rFonts w:ascii="Arial" w:hAnsi="Arial" w:cs="Arial"/>
        </w:rPr>
        <w:t>pediatric</w:t>
      </w:r>
      <w:proofErr w:type="spellEnd"/>
      <w:r w:rsidRPr="6CF4E60E" w:rsidR="3448E78A">
        <w:rPr>
          <w:rFonts w:ascii="Arial" w:hAnsi="Arial" w:cs="Arial"/>
        </w:rPr>
        <w:t xml:space="preserve"> disorders. The data</w:t>
      </w:r>
      <w:r w:rsidRPr="6CF4E60E" w:rsidR="3F7E0402">
        <w:rPr>
          <w:rFonts w:ascii="Arial" w:hAnsi="Arial" w:cs="Arial"/>
        </w:rPr>
        <w:t xml:space="preserve"> does</w:t>
      </w:r>
      <w:r w:rsidRPr="6CF4E60E" w:rsidR="3448E78A">
        <w:rPr>
          <w:rFonts w:ascii="Arial" w:hAnsi="Arial" w:cs="Arial"/>
        </w:rPr>
        <w:t xml:space="preserve"> </w:t>
      </w:r>
      <w:r w:rsidRPr="6CF4E60E" w:rsidR="43DF09F1">
        <w:rPr>
          <w:rFonts w:ascii="Arial" w:hAnsi="Arial" w:cs="Arial"/>
        </w:rPr>
        <w:t>include</w:t>
      </w:r>
      <w:r w:rsidRPr="6CF4E60E" w:rsidR="440D0AEF">
        <w:rPr>
          <w:rFonts w:ascii="Arial" w:hAnsi="Arial" w:cs="Arial"/>
        </w:rPr>
        <w:t xml:space="preserve"> cohorts with specific adult</w:t>
      </w:r>
      <w:r w:rsidRPr="6CF4E60E" w:rsidR="4FECB602">
        <w:rPr>
          <w:rFonts w:ascii="Arial" w:hAnsi="Arial" w:cs="Arial"/>
        </w:rPr>
        <w:t>-onset</w:t>
      </w:r>
      <w:r w:rsidRPr="6CF4E60E" w:rsidR="440D0AEF">
        <w:rPr>
          <w:rFonts w:ascii="Arial" w:hAnsi="Arial" w:cs="Arial"/>
        </w:rPr>
        <w:t xml:space="preserve"> conditions (e.g. cardiac and psychiatric)</w:t>
      </w:r>
      <w:r w:rsidRPr="6CF4E60E" w:rsidR="2F3B3F30">
        <w:rPr>
          <w:rFonts w:ascii="Arial" w:hAnsi="Arial" w:cs="Arial"/>
        </w:rPr>
        <w:t xml:space="preserve"> and a large contribution is now from the UK Biobank data.</w:t>
      </w:r>
    </w:p>
    <w:p w:rsidR="6F68E8AD" w:rsidP="6CF4E60E" w:rsidRDefault="6F68E8AD" w14:paraId="383B157A" w14:textId="2EE7EDCC">
      <w:pPr>
        <w:spacing w:line="360" w:lineRule="auto"/>
        <w:rPr>
          <w:rFonts w:ascii="Arial" w:hAnsi="Arial" w:cs="Arial"/>
        </w:rPr>
      </w:pPr>
      <w:r w:rsidRPr="6CF4E60E">
        <w:rPr>
          <w:rFonts w:ascii="Arial" w:hAnsi="Arial" w:cs="Arial"/>
        </w:rPr>
        <w:lastRenderedPageBreak/>
        <w:t xml:space="preserve"> </w:t>
      </w:r>
      <w:r w:rsidRPr="6CF4E60E" w:rsidR="25648F37">
        <w:rPr>
          <w:rFonts w:ascii="Arial" w:hAnsi="Arial" w:cs="Arial"/>
        </w:rPr>
        <w:t>Generally</w:t>
      </w:r>
      <w:r w:rsidRPr="6CF4E60E">
        <w:rPr>
          <w:rFonts w:ascii="Arial" w:hAnsi="Arial" w:cs="Arial"/>
        </w:rPr>
        <w:t xml:space="preserve">, a common variant with have a frequency of </w:t>
      </w:r>
      <w:r w:rsidRPr="6CF4E60E" w:rsidR="7E6CA044">
        <w:rPr>
          <w:rFonts w:ascii="Arial" w:hAnsi="Arial" w:cs="Arial"/>
        </w:rPr>
        <w:t>5</w:t>
      </w:r>
      <w:r w:rsidRPr="6CF4E60E">
        <w:rPr>
          <w:rFonts w:ascii="Arial" w:hAnsi="Arial" w:cs="Arial"/>
        </w:rPr>
        <w:t>% in a population</w:t>
      </w:r>
      <w:r w:rsidRPr="6CF4E60E" w:rsidR="5175C18F">
        <w:rPr>
          <w:rFonts w:ascii="Arial" w:hAnsi="Arial" w:cs="Arial"/>
        </w:rPr>
        <w:t xml:space="preserve">, and a rare </w:t>
      </w:r>
      <w:r w:rsidRPr="6CF4E60E" w:rsidR="13AC958B">
        <w:rPr>
          <w:rFonts w:ascii="Arial" w:hAnsi="Arial" w:cs="Arial"/>
        </w:rPr>
        <w:t xml:space="preserve">variant </w:t>
      </w:r>
      <w:r w:rsidRPr="6CF4E60E" w:rsidR="5175C18F">
        <w:rPr>
          <w:rFonts w:ascii="Arial" w:hAnsi="Arial" w:cs="Arial"/>
        </w:rPr>
        <w:t>will be below 1%</w:t>
      </w:r>
      <w:r w:rsidRPr="6CF4E60E">
        <w:rPr>
          <w:rFonts w:ascii="Arial" w:hAnsi="Arial" w:cs="Arial"/>
        </w:rPr>
        <w:t xml:space="preserve">. </w:t>
      </w:r>
      <w:r w:rsidRPr="6CF4E60E" w:rsidR="3B8D6D7E">
        <w:rPr>
          <w:rFonts w:ascii="Arial" w:hAnsi="Arial" w:cs="Arial"/>
        </w:rPr>
        <w:t>Cut-offs of 1 in 1,000 alleles, MAF=0.001 (1 in 500 individuals) and 1 in 10,000 al</w:t>
      </w:r>
      <w:r w:rsidRPr="6CF4E60E" w:rsidR="6FC7398F">
        <w:rPr>
          <w:rFonts w:ascii="Arial" w:hAnsi="Arial" w:cs="Arial"/>
        </w:rPr>
        <w:t>leles, MAF=0.0001 (1 in 5,000 individuals) are typically used for rare variants.</w:t>
      </w:r>
    </w:p>
    <w:p w:rsidR="000C1B28" w:rsidP="000C1B28" w:rsidRDefault="00604335" w14:paraId="25A4809B" w14:textId="4C7B68C1">
      <w:pPr>
        <w:spacing w:line="360" w:lineRule="auto"/>
        <w:rPr>
          <w:rFonts w:ascii="Arial" w:hAnsi="Arial" w:cs="Arial"/>
        </w:rPr>
      </w:pPr>
      <w:hyperlink r:id="rId21">
        <w:r w:rsidRPr="6CF4E60E" w:rsidR="000C1B28">
          <w:rPr>
            <w:rStyle w:val="Hyperlink"/>
            <w:rFonts w:ascii="Arial" w:hAnsi="Arial" w:cs="Arial"/>
          </w:rPr>
          <w:t>https://gnomad.broadinstitute.org/</w:t>
        </w:r>
      </w:hyperlink>
      <w:r w:rsidRPr="6CF4E60E" w:rsidR="6BFD825D">
        <w:rPr>
          <w:rFonts w:ascii="Arial" w:hAnsi="Arial" w:cs="Arial"/>
        </w:rPr>
        <w:t xml:space="preserve">  </w:t>
      </w:r>
    </w:p>
    <w:p w:rsidR="00272628" w:rsidP="7027B170" w:rsidRDefault="00272628" w14:paraId="6F68D7BC" w14:textId="4734664E">
      <w:pPr>
        <w:spacing w:line="360" w:lineRule="auto"/>
      </w:pPr>
      <w:r w:rsidRPr="7027B170" w:rsidR="00272628">
        <w:rPr>
          <w:rFonts w:ascii="Arial" w:hAnsi="Arial" w:cs="Arial"/>
        </w:rPr>
        <w:t xml:space="preserve">For variants that are </w:t>
      </w:r>
      <w:r w:rsidRPr="7027B170" w:rsidR="00641766">
        <w:rPr>
          <w:rFonts w:ascii="Arial" w:hAnsi="Arial" w:cs="Arial"/>
        </w:rPr>
        <w:t>listed in</w:t>
      </w:r>
      <w:r w:rsidRPr="7027B170" w:rsidR="00272628">
        <w:rPr>
          <w:rFonts w:ascii="Arial" w:hAnsi="Arial" w:cs="Arial"/>
        </w:rPr>
        <w:t xml:space="preserve"> </w:t>
      </w:r>
      <w:r w:rsidRPr="7027B170" w:rsidR="00272628">
        <w:rPr>
          <w:rFonts w:ascii="Arial" w:hAnsi="Arial" w:cs="Arial"/>
        </w:rPr>
        <w:t>gnomAD</w:t>
      </w:r>
      <w:r w:rsidRPr="7027B170" w:rsidR="00272628">
        <w:rPr>
          <w:rFonts w:ascii="Arial" w:hAnsi="Arial" w:cs="Arial"/>
        </w:rPr>
        <w:t xml:space="preserve">, </w:t>
      </w:r>
      <w:r w:rsidRPr="7027B170" w:rsidR="00641766">
        <w:rPr>
          <w:rFonts w:ascii="Arial" w:hAnsi="Arial" w:cs="Arial"/>
        </w:rPr>
        <w:t xml:space="preserve">when </w:t>
      </w:r>
      <w:r w:rsidRPr="7027B170" w:rsidR="00641766">
        <w:rPr>
          <w:rFonts w:ascii="Arial" w:hAnsi="Arial" w:cs="Arial"/>
        </w:rPr>
        <w:t>ascertaining</w:t>
      </w:r>
      <w:r w:rsidRPr="7027B170" w:rsidR="00641766">
        <w:rPr>
          <w:rFonts w:ascii="Arial" w:hAnsi="Arial" w:cs="Arial"/>
        </w:rPr>
        <w:t xml:space="preserve"> pathogenicity, </w:t>
      </w:r>
      <w:r w:rsidRPr="7027B170" w:rsidR="00272628">
        <w:rPr>
          <w:rFonts w:ascii="Arial" w:hAnsi="Arial" w:cs="Arial"/>
        </w:rPr>
        <w:t>t</w:t>
      </w:r>
      <w:r w:rsidRPr="7027B170" w:rsidR="20187A61">
        <w:rPr>
          <w:rFonts w:ascii="Arial" w:hAnsi="Arial" w:cs="Arial"/>
        </w:rPr>
        <w:t>he number of</w:t>
      </w:r>
      <w:r w:rsidRPr="7027B170" w:rsidR="00641766">
        <w:rPr>
          <w:rFonts w:ascii="Arial" w:hAnsi="Arial" w:cs="Arial"/>
        </w:rPr>
        <w:t xml:space="preserve"> acceptable</w:t>
      </w:r>
      <w:r w:rsidRPr="7027B170" w:rsidR="20187A61">
        <w:rPr>
          <w:rFonts w:ascii="Arial" w:hAnsi="Arial" w:cs="Arial"/>
        </w:rPr>
        <w:t xml:space="preserve"> alleles</w:t>
      </w:r>
      <w:r w:rsidRPr="7027B170" w:rsidR="00641766">
        <w:rPr>
          <w:rFonts w:ascii="Arial" w:hAnsi="Arial" w:cs="Arial"/>
        </w:rPr>
        <w:t xml:space="preserve"> present</w:t>
      </w:r>
      <w:r w:rsidRPr="7027B170" w:rsidR="00272628">
        <w:rPr>
          <w:rFonts w:ascii="Arial" w:hAnsi="Arial" w:cs="Arial"/>
        </w:rPr>
        <w:t xml:space="preserve"> </w:t>
      </w:r>
      <w:r w:rsidRPr="7027B170" w:rsidR="20187A61">
        <w:rPr>
          <w:rFonts w:ascii="Arial" w:hAnsi="Arial" w:cs="Arial"/>
        </w:rPr>
        <w:t>will depend on the severity and prevalence of the condition, as well as it</w:t>
      </w:r>
      <w:r w:rsidRPr="7027B170" w:rsidR="00E26646">
        <w:rPr>
          <w:rFonts w:ascii="Arial" w:hAnsi="Arial" w:cs="Arial"/>
        </w:rPr>
        <w:t>s</w:t>
      </w:r>
      <w:r w:rsidRPr="7027B170" w:rsidR="20187A61">
        <w:rPr>
          <w:rFonts w:ascii="Arial" w:hAnsi="Arial" w:cs="Arial"/>
        </w:rPr>
        <w:t xml:space="preserve"> mode of inheritance</w:t>
      </w:r>
      <w:r w:rsidRPr="7027B170" w:rsidR="00272628">
        <w:rPr>
          <w:rFonts w:ascii="Arial" w:hAnsi="Arial" w:cs="Arial"/>
        </w:rPr>
        <w:t xml:space="preserve"> and penetrance.</w:t>
      </w:r>
      <w:r w:rsidRPr="7027B170" w:rsidR="00E26646">
        <w:rPr>
          <w:rFonts w:ascii="Arial" w:hAnsi="Arial" w:cs="Arial"/>
        </w:rPr>
        <w:t xml:space="preserve"> </w:t>
      </w:r>
    </w:p>
    <w:p w:rsidR="3D2475B6" w:rsidP="7027B170" w:rsidRDefault="3D2475B6" w14:paraId="69281F88" w14:textId="544FB6E3">
      <w:pPr>
        <w:spacing w:line="360" w:lineRule="auto"/>
        <w:rPr>
          <w:rFonts w:ascii="Arial" w:hAnsi="Arial" w:cs="Arial"/>
        </w:rPr>
      </w:pPr>
      <w:r w:rsidRPr="7027B170" w:rsidR="3D2475B6">
        <w:rPr>
          <w:rFonts w:ascii="Arial" w:hAnsi="Arial" w:cs="Arial"/>
        </w:rPr>
        <w:t xml:space="preserve">In addition to allele frequency data, for variants listed in </w:t>
      </w:r>
      <w:r w:rsidRPr="7027B170" w:rsidR="3D2475B6">
        <w:rPr>
          <w:rFonts w:ascii="Arial" w:hAnsi="Arial" w:cs="Arial"/>
        </w:rPr>
        <w:t>gnomAD</w:t>
      </w:r>
      <w:r w:rsidRPr="7027B170" w:rsidR="3D2475B6">
        <w:rPr>
          <w:rFonts w:ascii="Arial" w:hAnsi="Arial" w:cs="Arial"/>
        </w:rPr>
        <w:t xml:space="preserve">, </w:t>
      </w:r>
      <w:r w:rsidRPr="7027B170" w:rsidR="4561B462">
        <w:rPr>
          <w:rFonts w:ascii="Arial" w:hAnsi="Arial" w:cs="Arial"/>
        </w:rPr>
        <w:t xml:space="preserve">information on in silico predictions and </w:t>
      </w:r>
      <w:r w:rsidRPr="7027B170" w:rsidR="4561B462">
        <w:rPr>
          <w:rFonts w:ascii="Arial" w:hAnsi="Arial" w:cs="Arial"/>
        </w:rPr>
        <w:t>ClinVar</w:t>
      </w:r>
      <w:r w:rsidRPr="7027B170" w:rsidR="4561B462">
        <w:rPr>
          <w:rFonts w:ascii="Arial" w:hAnsi="Arial" w:cs="Arial"/>
        </w:rPr>
        <w:t xml:space="preserve"> submissions is </w:t>
      </w:r>
      <w:r w:rsidRPr="7027B170" w:rsidR="6725F0D9">
        <w:rPr>
          <w:rFonts w:ascii="Arial" w:hAnsi="Arial" w:cs="Arial"/>
        </w:rPr>
        <w:t>provided in gnomAD.</w:t>
      </w:r>
    </w:p>
    <w:p w:rsidRPr="00E26646" w:rsidR="4ABB6A88" w:rsidP="00E26646" w:rsidRDefault="4ABB6A88" w14:paraId="62B4DA19" w14:textId="62297EE0">
      <w:pPr>
        <w:rPr>
          <w:rFonts w:ascii="Arial" w:hAnsi="Arial" w:cs="Arial"/>
        </w:rPr>
      </w:pPr>
    </w:p>
    <w:p w:rsidR="4ABB6A88" w:rsidP="7027B170" w:rsidRDefault="4ABB6A88" w14:paraId="33521CC9" w14:textId="46AAD2E7">
      <w:pPr>
        <w:pStyle w:val="Heading2"/>
        <w:numPr>
          <w:ilvl w:val="0"/>
          <w:numId w:val="0"/>
        </w:numPr>
        <w:suppressLineNumbers w:val="0"/>
        <w:bidi w:val="0"/>
        <w:spacing w:before="40" w:beforeAutospacing="off" w:after="0" w:afterAutospacing="off" w:line="276" w:lineRule="auto"/>
        <w:ind w:left="1440" w:right="0" w:hanging="360"/>
        <w:jc w:val="left"/>
      </w:pPr>
      <w:bookmarkStart w:name="_Toc1865286601" w:id="268525903"/>
      <w:r w:rsidR="453C299C">
        <w:rPr/>
        <w:t xml:space="preserve">6.3 </w:t>
      </w:r>
      <w:r w:rsidR="453C299C">
        <w:rPr/>
        <w:t>Functional</w:t>
      </w:r>
      <w:r w:rsidR="453C299C">
        <w:rPr/>
        <w:t xml:space="preserve"> impact</w:t>
      </w:r>
      <w:bookmarkEnd w:id="268525903"/>
    </w:p>
    <w:p w:rsidR="4ABB6A88" w:rsidP="7027B170" w:rsidRDefault="4ABB6A88" w14:paraId="4859F23A" w14:textId="01249857">
      <w:pPr>
        <w:pStyle w:val="Normal"/>
      </w:pPr>
    </w:p>
    <w:p w:rsidR="4ABB6A88" w:rsidP="7027B170" w:rsidRDefault="4ABB6A88" w14:paraId="410869BA" w14:textId="05F502B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hyperlink r:id="R14bb5cc761e944e5">
        <w:r w:rsidRPr="7027B170" w:rsidR="23E3993A">
          <w:rPr>
            <w:rStyle w:val="Hyperlink"/>
            <w:rFonts w:ascii="Arial" w:hAnsi="Arial" w:cs="Arial"/>
          </w:rPr>
          <w:t>SpliceAI</w:t>
        </w:r>
      </w:hyperlink>
      <w:r w:rsidRPr="7027B170" w:rsidR="23E3993A">
        <w:rPr>
          <w:rFonts w:ascii="Arial" w:hAnsi="Arial" w:cs="Arial"/>
        </w:rPr>
        <w:t xml:space="preserve"> and </w:t>
      </w:r>
      <w:hyperlink r:id="Rfb05b78c70b34d03">
        <w:r w:rsidRPr="7027B170" w:rsidR="2925094B">
          <w:rPr>
            <w:rStyle w:val="Hyperlink"/>
            <w:rFonts w:ascii="Arial" w:hAnsi="Arial" w:cs="Arial"/>
          </w:rPr>
          <w:t>REVEL</w:t>
        </w:r>
      </w:hyperlink>
      <w:r w:rsidRPr="7027B170" w:rsidR="2925094B">
        <w:rPr>
          <w:rFonts w:ascii="Arial" w:hAnsi="Arial" w:cs="Arial"/>
        </w:rPr>
        <w:t xml:space="preserve"> </w:t>
      </w:r>
      <w:r w:rsidRPr="7027B170" w:rsidR="25A6D893">
        <w:rPr>
          <w:rFonts w:ascii="Arial" w:hAnsi="Arial" w:cs="Arial"/>
        </w:rPr>
        <w:t xml:space="preserve">are </w:t>
      </w:r>
      <w:r w:rsidRPr="7027B170" w:rsidR="5CFA3C04">
        <w:rPr>
          <w:rFonts w:ascii="Arial" w:hAnsi="Arial" w:cs="Arial"/>
        </w:rPr>
        <w:t xml:space="preserve">the </w:t>
      </w:r>
      <w:r w:rsidRPr="7027B170" w:rsidR="42DA02F7">
        <w:rPr>
          <w:rFonts w:ascii="Arial" w:hAnsi="Arial" w:cs="Arial"/>
        </w:rPr>
        <w:t>recommended</w:t>
      </w:r>
      <w:r w:rsidRPr="7027B170" w:rsidR="3918E9B2">
        <w:rPr>
          <w:rFonts w:ascii="Arial" w:hAnsi="Arial" w:cs="Arial"/>
        </w:rPr>
        <w:t xml:space="preserve"> </w:t>
      </w:r>
      <w:r w:rsidRPr="7027B170" w:rsidR="22620B0D">
        <w:rPr>
          <w:rFonts w:ascii="Arial" w:hAnsi="Arial" w:cs="Arial"/>
          <w:i w:val="1"/>
          <w:iCs w:val="1"/>
        </w:rPr>
        <w:t>in silico</w:t>
      </w:r>
      <w:r w:rsidRPr="7027B170" w:rsidR="22620B0D">
        <w:rPr>
          <w:rFonts w:ascii="Arial" w:hAnsi="Arial" w:cs="Arial"/>
        </w:rPr>
        <w:t xml:space="preserve"> </w:t>
      </w:r>
      <w:r w:rsidRPr="7027B170" w:rsidR="5F964F84">
        <w:rPr>
          <w:rFonts w:ascii="Arial" w:hAnsi="Arial" w:cs="Arial"/>
        </w:rPr>
        <w:t xml:space="preserve">predictors </w:t>
      </w:r>
      <w:r w:rsidRPr="7027B170" w:rsidR="22620B0D">
        <w:rPr>
          <w:rFonts w:ascii="Arial" w:hAnsi="Arial" w:cs="Arial"/>
        </w:rPr>
        <w:t>to assess impact on splicing</w:t>
      </w:r>
      <w:r w:rsidRPr="7027B170" w:rsidR="2629C3E2">
        <w:rPr>
          <w:rFonts w:ascii="Arial" w:hAnsi="Arial" w:cs="Arial"/>
        </w:rPr>
        <w:t xml:space="preserve"> </w:t>
      </w:r>
      <w:r w:rsidRPr="7027B170" w:rsidR="491026D8">
        <w:rPr>
          <w:rFonts w:ascii="Arial" w:hAnsi="Arial" w:cs="Arial"/>
        </w:rPr>
        <w:t xml:space="preserve">and </w:t>
      </w:r>
      <w:r w:rsidRPr="7027B170" w:rsidR="491026D8">
        <w:rPr>
          <w:rFonts w:ascii="Arial" w:hAnsi="Arial" w:cs="Arial"/>
        </w:rPr>
        <w:t>aminoacid</w:t>
      </w:r>
      <w:r w:rsidRPr="7027B170" w:rsidR="491026D8">
        <w:rPr>
          <w:rFonts w:ascii="Arial" w:hAnsi="Arial" w:cs="Arial"/>
        </w:rPr>
        <w:t xml:space="preserve"> changes, respectively. For variants listed in </w:t>
      </w:r>
      <w:r w:rsidRPr="7027B170" w:rsidR="491026D8">
        <w:rPr>
          <w:rFonts w:ascii="Arial" w:hAnsi="Arial" w:cs="Arial"/>
        </w:rPr>
        <w:t>gnomAD</w:t>
      </w:r>
      <w:r w:rsidRPr="7027B170" w:rsidR="491026D8">
        <w:rPr>
          <w:rFonts w:ascii="Arial" w:hAnsi="Arial" w:cs="Arial"/>
        </w:rPr>
        <w:t xml:space="preserve">, these predictions are </w:t>
      </w:r>
      <w:r w:rsidRPr="7027B170" w:rsidR="491026D8">
        <w:rPr>
          <w:rFonts w:ascii="Arial" w:hAnsi="Arial" w:cs="Arial"/>
        </w:rPr>
        <w:t>usually availabl</w:t>
      </w:r>
      <w:r w:rsidRPr="7027B170" w:rsidR="7DC71FE2">
        <w:rPr>
          <w:rFonts w:ascii="Arial" w:hAnsi="Arial" w:cs="Arial"/>
        </w:rPr>
        <w:t>e</w:t>
      </w:r>
      <w:r w:rsidRPr="7027B170" w:rsidR="7DC71FE2">
        <w:rPr>
          <w:rFonts w:ascii="Arial" w:hAnsi="Arial" w:cs="Arial"/>
        </w:rPr>
        <w:t xml:space="preserve"> within the variant results page.</w:t>
      </w:r>
      <w:r w:rsidRPr="7027B170" w:rsidR="5D190D9A">
        <w:rPr>
          <w:rFonts w:ascii="Arial" w:hAnsi="Arial" w:cs="Arial"/>
        </w:rPr>
        <w:t xml:space="preserve"> </w:t>
      </w:r>
    </w:p>
    <w:p w:rsidR="7027B170" w:rsidP="7027B170" w:rsidRDefault="7027B170" w14:paraId="33ED8EB0" w14:textId="4C9F29B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</w:p>
    <w:p w:rsidR="613EF649" w:rsidP="7027B170" w:rsidRDefault="613EF649" w14:paraId="04D4C6A2" w14:textId="4DE6D6CB">
      <w:pPr>
        <w:pStyle w:val="Heading2"/>
        <w:numPr>
          <w:ilvl w:val="0"/>
          <w:numId w:val="0"/>
        </w:numPr>
        <w:suppressLineNumbers w:val="0"/>
        <w:bidi w:val="0"/>
        <w:spacing w:before="40" w:beforeAutospacing="off" w:after="0" w:afterAutospacing="off" w:line="276" w:lineRule="auto"/>
        <w:ind w:left="1440" w:right="0" w:hanging="360"/>
        <w:jc w:val="left"/>
      </w:pPr>
      <w:bookmarkStart w:name="_Toc265943522" w:id="194454825"/>
      <w:r w:rsidR="613EF649">
        <w:rPr/>
        <w:t>6.4 Literature searches and other databases</w:t>
      </w:r>
      <w:bookmarkEnd w:id="194454825"/>
    </w:p>
    <w:p w:rsidR="613EF649" w:rsidP="7027B170" w:rsidRDefault="613EF649" w14:paraId="014B25F5" w14:textId="66834C9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r w:rsidRPr="7027B170" w:rsidR="613EF649">
        <w:rPr>
          <w:rFonts w:ascii="Arial" w:hAnsi="Arial" w:cs="Arial"/>
        </w:rPr>
        <w:t xml:space="preserve">Variants should be evaluated in the context of the phenotype of the patient being tested by the </w:t>
      </w:r>
      <w:r w:rsidRPr="7027B170" w:rsidR="501C73F9">
        <w:rPr>
          <w:rFonts w:ascii="Arial" w:hAnsi="Arial" w:cs="Arial"/>
        </w:rPr>
        <w:t>clinical</w:t>
      </w:r>
      <w:r w:rsidRPr="7027B170" w:rsidR="613EF649">
        <w:rPr>
          <w:rFonts w:ascii="Arial" w:hAnsi="Arial" w:cs="Arial"/>
        </w:rPr>
        <w:t xml:space="preserve"> lab</w:t>
      </w:r>
      <w:r w:rsidRPr="7027B170" w:rsidR="185EF7AC">
        <w:rPr>
          <w:rFonts w:ascii="Arial" w:hAnsi="Arial" w:cs="Arial"/>
        </w:rPr>
        <w:t xml:space="preserve"> </w:t>
      </w:r>
      <w:r w:rsidRPr="7027B170" w:rsidR="185EF7AC">
        <w:rPr>
          <w:rFonts w:ascii="Arial" w:hAnsi="Arial" w:cs="Arial"/>
        </w:rPr>
        <w:t xml:space="preserve">and </w:t>
      </w:r>
      <w:r w:rsidRPr="7027B170" w:rsidR="613EF649">
        <w:rPr>
          <w:rFonts w:ascii="Arial" w:hAnsi="Arial" w:cs="Arial"/>
        </w:rPr>
        <w:t>also</w:t>
      </w:r>
      <w:r w:rsidRPr="7027B170" w:rsidR="613EF649">
        <w:rPr>
          <w:rFonts w:ascii="Arial" w:hAnsi="Arial" w:cs="Arial"/>
        </w:rPr>
        <w:t xml:space="preserve"> </w:t>
      </w:r>
      <w:r w:rsidRPr="7027B170" w:rsidR="613EF649">
        <w:rPr>
          <w:rFonts w:ascii="Arial" w:hAnsi="Arial" w:cs="Arial"/>
        </w:rPr>
        <w:t>taking into account</w:t>
      </w:r>
      <w:r w:rsidRPr="7027B170" w:rsidR="613EF649">
        <w:rPr>
          <w:rFonts w:ascii="Arial" w:hAnsi="Arial" w:cs="Arial"/>
        </w:rPr>
        <w:t xml:space="preserve"> other cases with the same variant.</w:t>
      </w:r>
      <w:r w:rsidRPr="7027B170" w:rsidR="081C107F">
        <w:rPr>
          <w:rFonts w:ascii="Arial" w:hAnsi="Arial" w:cs="Arial"/>
        </w:rPr>
        <w:t xml:space="preserve">  </w:t>
      </w:r>
    </w:p>
    <w:p w:rsidR="081C107F" w:rsidP="7027B170" w:rsidRDefault="081C107F" w14:paraId="199074F6" w14:textId="1266044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hyperlink r:id="R7ef41f587ded49b1">
        <w:r w:rsidRPr="7027B170" w:rsidR="081C107F">
          <w:rPr>
            <w:rStyle w:val="Hyperlink"/>
            <w:rFonts w:ascii="Arial" w:hAnsi="Arial" w:cs="Arial"/>
          </w:rPr>
          <w:t>HGMD</w:t>
        </w:r>
      </w:hyperlink>
      <w:r w:rsidRPr="7027B170" w:rsidR="73BDB2D5">
        <w:rPr>
          <w:rFonts w:ascii="Arial" w:hAnsi="Arial" w:cs="Arial"/>
        </w:rPr>
        <w:t xml:space="preserve"> and </w:t>
      </w:r>
      <w:hyperlink r:id="Rf15e1f51ce89430d">
        <w:r w:rsidRPr="7027B170" w:rsidR="081C107F">
          <w:rPr>
            <w:rStyle w:val="Hyperlink"/>
            <w:rFonts w:ascii="Arial" w:hAnsi="Arial" w:cs="Arial"/>
          </w:rPr>
          <w:t>ClinVar</w:t>
        </w:r>
      </w:hyperlink>
      <w:r w:rsidRPr="7027B170" w:rsidR="081C107F">
        <w:rPr>
          <w:rFonts w:ascii="Arial" w:hAnsi="Arial" w:cs="Arial"/>
        </w:rPr>
        <w:t xml:space="preserve"> should be used to </w:t>
      </w:r>
      <w:r w:rsidRPr="7027B170" w:rsidR="081C107F">
        <w:rPr>
          <w:rFonts w:ascii="Arial" w:hAnsi="Arial" w:cs="Arial"/>
        </w:rPr>
        <w:t>identify</w:t>
      </w:r>
      <w:r w:rsidRPr="7027B170" w:rsidR="081C107F">
        <w:rPr>
          <w:rFonts w:ascii="Arial" w:hAnsi="Arial" w:cs="Arial"/>
        </w:rPr>
        <w:t xml:space="preserve"> </w:t>
      </w:r>
      <w:r w:rsidRPr="7027B170" w:rsidR="081C107F">
        <w:rPr>
          <w:rFonts w:ascii="Arial" w:hAnsi="Arial" w:cs="Arial"/>
        </w:rPr>
        <w:t>additional</w:t>
      </w:r>
      <w:r w:rsidRPr="7027B170" w:rsidR="081C107F">
        <w:rPr>
          <w:rFonts w:ascii="Arial" w:hAnsi="Arial" w:cs="Arial"/>
        </w:rPr>
        <w:t xml:space="preserve"> case</w:t>
      </w:r>
      <w:r w:rsidRPr="7027B170" w:rsidR="699E8661">
        <w:rPr>
          <w:rFonts w:ascii="Arial" w:hAnsi="Arial" w:cs="Arial"/>
        </w:rPr>
        <w:t>s with the same variant</w:t>
      </w:r>
      <w:r w:rsidRPr="7027B170" w:rsidR="699E8661">
        <w:rPr>
          <w:rFonts w:ascii="Arial" w:hAnsi="Arial" w:cs="Arial"/>
        </w:rPr>
        <w:t>.</w:t>
      </w:r>
    </w:p>
    <w:p w:rsidR="36CDA8ED" w:rsidP="7027B170" w:rsidRDefault="36CDA8ED" w14:paraId="55C9128A" w14:textId="2F97505B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r w:rsidRPr="7027B170" w:rsidR="36CDA8ED">
        <w:rPr>
          <w:rFonts w:ascii="Arial" w:hAnsi="Arial" w:cs="Arial"/>
        </w:rPr>
        <w:t xml:space="preserve">Google and PubMed may also return </w:t>
      </w:r>
      <w:r w:rsidRPr="7027B170" w:rsidR="36CDA8ED">
        <w:rPr>
          <w:rFonts w:ascii="Arial" w:hAnsi="Arial" w:cs="Arial"/>
        </w:rPr>
        <w:t>additional</w:t>
      </w:r>
      <w:r w:rsidRPr="7027B170" w:rsidR="36CDA8ED">
        <w:rPr>
          <w:rFonts w:ascii="Arial" w:hAnsi="Arial" w:cs="Arial"/>
        </w:rPr>
        <w:t xml:space="preserve"> results.</w:t>
      </w:r>
    </w:p>
    <w:p w:rsidR="0077347E" w:rsidP="00641766" w:rsidRDefault="0077347E" w14:paraId="4F97728C" w14:textId="77777777">
      <w:pPr>
        <w:spacing w:line="360" w:lineRule="auto"/>
        <w:rPr>
          <w:rFonts w:ascii="Arial" w:hAnsi="Arial" w:cs="Arial"/>
        </w:rPr>
      </w:pPr>
    </w:p>
    <w:p w:rsidR="00641766" w:rsidP="00641766" w:rsidRDefault="00492D76" w14:paraId="3365CAB5" w14:textId="721CA29E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D245AE" wp14:editId="1CC33D49">
            <wp:extent cx="5731510" cy="211201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7E" w:rsidP="00641766" w:rsidRDefault="0077347E" w14:paraId="2FF2FD38" w14:textId="0A825771">
      <w:pPr>
        <w:spacing w:line="360" w:lineRule="auto"/>
        <w:rPr>
          <w:rFonts w:ascii="Arial" w:hAnsi="Arial" w:cs="Arial"/>
        </w:rPr>
      </w:pPr>
      <w:hyperlink w:history="1" r:id="rId23">
        <w:r w:rsidRPr="00E861F8">
          <w:rPr>
            <w:rStyle w:val="Hyperlink"/>
            <w:rFonts w:ascii="Arial" w:hAnsi="Arial" w:cs="Arial"/>
          </w:rPr>
          <w:t>https://apps.ingenuity.com/ingsso/login</w:t>
        </w:r>
      </w:hyperlink>
    </w:p>
    <w:p w:rsidR="00641766" w:rsidP="00641766" w:rsidRDefault="00641766" w14:paraId="419F22A7" w14:textId="02E54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HGMD</w:t>
      </w:r>
      <w:r w:rsidR="0077347E">
        <w:rPr>
          <w:rFonts w:ascii="Arial" w:hAnsi="Arial" w:cs="Arial"/>
        </w:rPr>
        <w:t xml:space="preserve"> Professional</w:t>
      </w:r>
      <w:r>
        <w:rPr>
          <w:rFonts w:ascii="Arial" w:hAnsi="Arial" w:cs="Arial"/>
        </w:rPr>
        <w:t xml:space="preserve"> list variants published in peer-reviewed publications. Access to HGMD is available via registration with a nhs.net e-mail account.</w:t>
      </w:r>
    </w:p>
    <w:p w:rsidRPr="00641766" w:rsidR="00641766" w:rsidP="00641766" w:rsidRDefault="0077347E" w14:paraId="554D90C0" w14:textId="1EF33D0C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479B38C" wp14:editId="127E7BD9">
            <wp:extent cx="6063870" cy="283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68449" cy="28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F4E60E" w:rsidP="6CF4E60E" w:rsidRDefault="6CF4E60E" w14:paraId="2B902EF5" w14:textId="3DD777E8"/>
    <w:p w:rsidR="6CF4E60E" w:rsidP="7027B170" w:rsidRDefault="6CF4E60E" w14:paraId="528996D9" w14:textId="0F60BA5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</w:rPr>
      </w:pPr>
      <w:r w:rsidRPr="7027B170" w:rsidR="64C3F857">
        <w:rPr>
          <w:rFonts w:ascii="Arial" w:hAnsi="Arial" w:cs="Arial"/>
        </w:rPr>
        <w:t>ClinVar</w:t>
      </w:r>
      <w:r w:rsidRPr="7027B170" w:rsidR="64C3F857">
        <w:rPr>
          <w:rFonts w:ascii="Arial" w:hAnsi="Arial" w:cs="Arial"/>
        </w:rPr>
        <w:t xml:space="preserve"> ( is a repository of variants </w:t>
      </w:r>
      <w:r w:rsidRPr="7027B170" w:rsidR="64C3F857">
        <w:rPr>
          <w:rFonts w:ascii="Arial" w:hAnsi="Arial" w:cs="Arial"/>
        </w:rPr>
        <w:t>identified</w:t>
      </w:r>
      <w:r w:rsidRPr="7027B170" w:rsidR="64C3F857">
        <w:rPr>
          <w:rFonts w:ascii="Arial" w:hAnsi="Arial" w:cs="Arial"/>
        </w:rPr>
        <w:t xml:space="preserve"> in clinical laboratories, but these have not been necessarily assessed by a competent clinical scientist and as such, an independent assessment of the variants should be conducted</w:t>
      </w:r>
      <w:r w:rsidRPr="7027B170" w:rsidR="64C3F857">
        <w:rPr>
          <w:rFonts w:ascii="Arial" w:hAnsi="Arial" w:cs="Arial"/>
        </w:rPr>
        <w:t xml:space="preserve">.  </w:t>
      </w:r>
      <w:r w:rsidRPr="7027B170" w:rsidR="64C3F857">
        <w:rPr>
          <w:rFonts w:ascii="Arial" w:hAnsi="Arial" w:cs="Arial"/>
        </w:rPr>
        <w:t xml:space="preserve">Submitting laboratories might be contacted for </w:t>
      </w:r>
      <w:r w:rsidRPr="7027B170" w:rsidR="64C3F857">
        <w:rPr>
          <w:rFonts w:ascii="Arial" w:hAnsi="Arial" w:cs="Arial"/>
        </w:rPr>
        <w:t>additional</w:t>
      </w:r>
      <w:r w:rsidRPr="7027B170" w:rsidR="64C3F857">
        <w:rPr>
          <w:rFonts w:ascii="Arial" w:hAnsi="Arial" w:cs="Arial"/>
        </w:rPr>
        <w:t xml:space="preserve"> information to aid variant assessment. </w:t>
      </w:r>
    </w:p>
    <w:p w:rsidR="6CF4E60E" w:rsidP="7027B170" w:rsidRDefault="6CF4E60E" w14:paraId="44C3C7BC" w14:textId="01340CF3">
      <w:pPr>
        <w:spacing w:line="360" w:lineRule="auto"/>
        <w:rPr>
          <w:rFonts w:ascii="Arial" w:hAnsi="Arial" w:cs="Arial"/>
        </w:rPr>
      </w:pPr>
      <w:r w:rsidRPr="7027B170" w:rsidR="591E27DD">
        <w:rPr>
          <w:rFonts w:ascii="Arial" w:hAnsi="Arial" w:cs="Arial"/>
        </w:rPr>
        <w:t xml:space="preserve">Unlike HGMD, </w:t>
      </w:r>
      <w:r w:rsidRPr="7027B170" w:rsidR="64C3F857">
        <w:rPr>
          <w:rFonts w:ascii="Arial" w:hAnsi="Arial" w:cs="Arial"/>
        </w:rPr>
        <w:t>ClinVar</w:t>
      </w:r>
      <w:r w:rsidRPr="7027B170" w:rsidR="64C3F857">
        <w:rPr>
          <w:rFonts w:ascii="Arial" w:hAnsi="Arial" w:cs="Arial"/>
        </w:rPr>
        <w:t xml:space="preserve"> </w:t>
      </w:r>
      <w:r w:rsidRPr="7027B170" w:rsidR="5A36F424">
        <w:rPr>
          <w:rFonts w:ascii="Arial" w:hAnsi="Arial" w:cs="Arial"/>
        </w:rPr>
        <w:t xml:space="preserve">displays </w:t>
      </w:r>
      <w:r w:rsidRPr="7027B170" w:rsidR="64C3F857">
        <w:rPr>
          <w:rFonts w:ascii="Arial" w:hAnsi="Arial" w:cs="Arial"/>
        </w:rPr>
        <w:t>variants that are not published in the literature.</w:t>
      </w:r>
    </w:p>
    <w:p w:rsidR="6CF4E60E" w:rsidP="7027B170" w:rsidRDefault="6CF4E60E" w14:paraId="0CE6A1E3" w14:textId="7FC0542E">
      <w:pPr>
        <w:spacing w:line="360" w:lineRule="auto"/>
        <w:rPr>
          <w:rFonts w:ascii="Arial" w:hAnsi="Arial" w:cs="Arial"/>
        </w:rPr>
      </w:pPr>
      <w:r w:rsidRPr="7027B170" w:rsidR="106B228A">
        <w:rPr>
          <w:rFonts w:ascii="Arial" w:hAnsi="Arial" w:cs="Arial"/>
        </w:rPr>
        <w:t xml:space="preserve">A Google search, usually via Alamut, may return </w:t>
      </w:r>
      <w:r w:rsidRPr="7027B170" w:rsidR="106B228A">
        <w:rPr>
          <w:rFonts w:ascii="Arial" w:hAnsi="Arial" w:cs="Arial"/>
        </w:rPr>
        <w:t>additional</w:t>
      </w:r>
      <w:r w:rsidRPr="7027B170" w:rsidR="106B228A">
        <w:rPr>
          <w:rFonts w:ascii="Arial" w:hAnsi="Arial" w:cs="Arial"/>
        </w:rPr>
        <w:t xml:space="preserve"> results that are not in HGMD nor </w:t>
      </w:r>
      <w:r w:rsidRPr="7027B170" w:rsidR="106B228A">
        <w:rPr>
          <w:rFonts w:ascii="Arial" w:hAnsi="Arial" w:cs="Arial"/>
        </w:rPr>
        <w:t>ClinVar</w:t>
      </w:r>
      <w:r w:rsidRPr="7027B170" w:rsidR="106B228A">
        <w:rPr>
          <w:rFonts w:ascii="Arial" w:hAnsi="Arial" w:cs="Arial"/>
        </w:rPr>
        <w:t xml:space="preserve"> (</w:t>
      </w:r>
      <w:r w:rsidRPr="7027B170" w:rsidR="0B7DEE97">
        <w:rPr>
          <w:rFonts w:ascii="Arial" w:hAnsi="Arial" w:cs="Arial"/>
        </w:rPr>
        <w:t>e.g.</w:t>
      </w:r>
      <w:r w:rsidRPr="7027B170" w:rsidR="106B228A">
        <w:rPr>
          <w:rFonts w:ascii="Arial" w:hAnsi="Arial" w:cs="Arial"/>
        </w:rPr>
        <w:t xml:space="preserve"> from poster presentations, PhD disse</w:t>
      </w:r>
      <w:r w:rsidRPr="7027B170" w:rsidR="68EE68D2">
        <w:rPr>
          <w:rFonts w:ascii="Arial" w:hAnsi="Arial" w:cs="Arial"/>
        </w:rPr>
        <w:t>rtations, etc).</w:t>
      </w:r>
      <w:r w:rsidRPr="7027B170" w:rsidR="574770D3">
        <w:rPr>
          <w:rFonts w:ascii="Arial" w:hAnsi="Arial" w:cs="Arial"/>
        </w:rPr>
        <w:t xml:space="preserve"> </w:t>
      </w:r>
    </w:p>
    <w:p w:rsidR="6CF4E60E" w:rsidP="7027B170" w:rsidRDefault="6CF4E60E" w14:paraId="2ED14DC4" w14:textId="3AEADBB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</w:rPr>
      </w:pPr>
      <w:hyperlink r:id="R46cb6324415e4fb1">
        <w:r w:rsidRPr="7027B170" w:rsidR="72CA9303">
          <w:rPr>
            <w:rStyle w:val="Hyperlink"/>
            <w:rFonts w:ascii="Arial" w:hAnsi="Arial" w:cs="Arial"/>
          </w:rPr>
          <w:t>PubMed</w:t>
        </w:r>
      </w:hyperlink>
      <w:r w:rsidRPr="7027B170" w:rsidR="72CA9303">
        <w:rPr>
          <w:rFonts w:ascii="Arial" w:hAnsi="Arial" w:cs="Arial"/>
        </w:rPr>
        <w:t xml:space="preserve">  is a comprehensive and up to date database of published literature</w:t>
      </w:r>
      <w:r w:rsidRPr="7027B170" w:rsidR="31BFDC1D">
        <w:rPr>
          <w:rFonts w:ascii="Arial" w:hAnsi="Arial" w:cs="Arial"/>
        </w:rPr>
        <w:t>.</w:t>
      </w:r>
      <w:r w:rsidRPr="7027B170" w:rsidR="7F25344C">
        <w:rPr>
          <w:rFonts w:ascii="Arial" w:hAnsi="Arial" w:cs="Arial"/>
        </w:rPr>
        <w:t xml:space="preserve"> This is more commonly used to search gene-level and phenotype level information, rather than to search for a specific variant.</w:t>
      </w:r>
    </w:p>
    <w:p w:rsidR="4ABB6A88" w:rsidP="4ABB6A88" w:rsidRDefault="4ABB6A88" w14:paraId="13D54457" w14:textId="58509E9D">
      <w:pPr>
        <w:pStyle w:val="ListParagraph"/>
        <w:ind w:left="1440"/>
        <w:rPr>
          <w:rFonts w:ascii="Arial" w:hAnsi="Arial" w:cs="Arial"/>
        </w:rPr>
      </w:pPr>
    </w:p>
    <w:p w:rsidR="7189F40D" w:rsidP="7027B170" w:rsidRDefault="000C1B28" w14:paraId="0D820232" w14:textId="73ED182A">
      <w:pPr>
        <w:pStyle w:val="Heading2"/>
        <w:numPr>
          <w:ilvl w:val="0"/>
          <w:numId w:val="0"/>
        </w:numPr>
        <w:spacing w:line="259" w:lineRule="auto"/>
        <w:ind w:left="1440"/>
      </w:pPr>
      <w:bookmarkStart w:name="_Toc1905522667" w:id="2071928067"/>
      <w:r w:rsidR="617A311B">
        <w:rPr/>
        <w:t>6.5</w:t>
      </w:r>
      <w:r w:rsidR="000C1B28">
        <w:rPr/>
        <w:t xml:space="preserve"> </w:t>
      </w:r>
      <w:r w:rsidR="503F5B80">
        <w:rPr/>
        <w:t>A comprehensive suite: DECIPHER</w:t>
      </w:r>
      <w:bookmarkEnd w:id="2071928067"/>
    </w:p>
    <w:p w:rsidR="4F7E0688" w:rsidP="7027B170" w:rsidRDefault="4F7E0688" w14:paraId="3551596F" w14:textId="612C2C4A">
      <w:pPr>
        <w:pStyle w:val="Normal"/>
        <w:spacing w:line="360" w:lineRule="auto"/>
        <w:rPr>
          <w:rFonts w:ascii="Arial" w:hAnsi="Arial" w:cs="Arial"/>
        </w:rPr>
      </w:pPr>
      <w:hyperlink r:id="Rfdb8dbeb7ec84c9f">
        <w:r w:rsidRPr="7027B170" w:rsidR="4F7E0688">
          <w:rPr>
            <w:rStyle w:val="Hyperlink"/>
            <w:rFonts w:ascii="Arial" w:hAnsi="Arial" w:cs="Arial"/>
          </w:rPr>
          <w:t>DECIPHER</w:t>
        </w:r>
      </w:hyperlink>
      <w:r w:rsidRPr="7027B170" w:rsidR="4F7E0688">
        <w:rPr>
          <w:rFonts w:ascii="Arial" w:hAnsi="Arial" w:cs="Arial"/>
        </w:rPr>
        <w:t xml:space="preserve"> </w:t>
      </w:r>
      <w:r w:rsidRPr="7027B170" w:rsidR="4F7E0688">
        <w:rPr>
          <w:rFonts w:ascii="Arial" w:hAnsi="Arial" w:cs="Arial"/>
        </w:rPr>
        <w:t>contains</w:t>
      </w:r>
      <w:r w:rsidRPr="7027B170" w:rsidR="4F7E0688">
        <w:rPr>
          <w:rFonts w:ascii="Arial" w:hAnsi="Arial" w:cs="Arial"/>
        </w:rPr>
        <w:t xml:space="preserve"> a suite of resources for variant interpretation, allowing users to link out to datasets from OMIM, </w:t>
      </w:r>
      <w:r w:rsidRPr="7027B170" w:rsidR="4F7E0688">
        <w:rPr>
          <w:rFonts w:ascii="Arial" w:hAnsi="Arial" w:cs="Arial"/>
        </w:rPr>
        <w:t>gnomAD</w:t>
      </w:r>
      <w:r w:rsidRPr="7027B170" w:rsidR="4F7E0688">
        <w:rPr>
          <w:rFonts w:ascii="Arial" w:hAnsi="Arial" w:cs="Arial"/>
        </w:rPr>
        <w:t xml:space="preserve">, </w:t>
      </w:r>
      <w:r w:rsidRPr="7027B170" w:rsidR="4F7E0688">
        <w:rPr>
          <w:rFonts w:ascii="Arial" w:hAnsi="Arial" w:cs="Arial"/>
        </w:rPr>
        <w:t>ClinVar</w:t>
      </w:r>
      <w:r w:rsidRPr="7027B170" w:rsidR="4F7E0688">
        <w:rPr>
          <w:rFonts w:ascii="Arial" w:hAnsi="Arial" w:cs="Arial"/>
        </w:rPr>
        <w:t xml:space="preserve"> and many other datasets. It is a recommended starting point for variant </w:t>
      </w:r>
      <w:r w:rsidRPr="7027B170" w:rsidR="4F7E0688">
        <w:rPr>
          <w:rFonts w:ascii="Arial" w:hAnsi="Arial" w:cs="Arial"/>
        </w:rPr>
        <w:t>assessment.</w:t>
      </w:r>
    </w:p>
    <w:p w:rsidR="4ABB6A88" w:rsidP="7027B170" w:rsidRDefault="4ABB6A88" w14:paraId="44DECA5F" w14:textId="0764E174">
      <w:pPr>
        <w:pStyle w:val="Normal"/>
        <w:ind/>
      </w:pPr>
    </w:p>
    <w:p w:rsidR="4ABB6A88" w:rsidP="4ABB6A88" w:rsidRDefault="4ABB6A88" w14:paraId="6DCA8840" w14:textId="04DB663B">
      <w:pPr>
        <w:pStyle w:val="ListParagraph"/>
        <w:ind w:left="1440"/>
        <w:rPr>
          <w:rFonts w:ascii="Arial" w:hAnsi="Arial" w:cs="Arial"/>
        </w:rPr>
      </w:pPr>
    </w:p>
    <w:p w:rsidRPr="009B5887" w:rsidR="005F1CBD" w:rsidP="7027B170" w:rsidRDefault="005F1CBD" w14:paraId="2CD66FE3" w14:textId="078AAF75">
      <w:pPr>
        <w:pStyle w:val="Normal"/>
        <w:spacing w:line="360" w:lineRule="auto"/>
        <w:ind w:left="1440"/>
        <w:rPr>
          <w:rFonts w:ascii="Arial" w:hAnsi="Arial" w:cs="Arial"/>
        </w:rPr>
      </w:pPr>
    </w:p>
    <w:p w:rsidR="000E19F7" w:rsidP="009F5A53" w:rsidRDefault="000E19F7" w14:paraId="5A39BBE3" w14:textId="77777777">
      <w:pPr>
        <w:spacing w:line="276" w:lineRule="auto"/>
        <w:rPr>
          <w:rFonts w:ascii="Arial" w:hAnsi="Arial" w:cs="Arial"/>
        </w:rPr>
      </w:pPr>
    </w:p>
    <w:p w:rsidR="00563093" w:rsidP="7027B170" w:rsidRDefault="00563093" w14:paraId="0E27B00A" w14:textId="5F542B69">
      <w:pPr>
        <w:pStyle w:val="Normal"/>
        <w:spacing w:line="276" w:lineRule="auto"/>
      </w:pPr>
    </w:p>
    <w:p w:rsidRPr="008B333F" w:rsidR="00E13523" w:rsidP="7027B170" w:rsidRDefault="00E13523" w14:paraId="30D7AA69" w14:textId="25D3CC08">
      <w:pPr>
        <w:pStyle w:val="Normal"/>
        <w:spacing w:after="0" w:line="276" w:lineRule="auto"/>
        <w:rPr>
          <w:rFonts w:ascii="Arial" w:hAnsi="Arial" w:cs="Arial"/>
        </w:rPr>
      </w:pPr>
    </w:p>
    <w:sectPr w:rsidRPr="008B333F" w:rsidR="00E13523" w:rsidSect="00272628">
      <w:headerReference w:type="default" r:id="rId29"/>
      <w:footerReference w:type="default" r:id="rId30"/>
      <w:pgSz w:w="11906" w:h="16838" w:orient="portrait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9F7" w:rsidP="000E19F7" w:rsidRDefault="000E19F7" w14:paraId="7196D064" w14:textId="77777777">
      <w:pPr>
        <w:spacing w:after="0" w:line="240" w:lineRule="auto"/>
      </w:pPr>
      <w:r>
        <w:separator/>
      </w:r>
    </w:p>
  </w:endnote>
  <w:endnote w:type="continuationSeparator" w:id="0">
    <w:p w:rsidR="000E19F7" w:rsidP="000E19F7" w:rsidRDefault="000E19F7" w14:paraId="34FF1C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72628" w:rsidR="00272628" w:rsidP="00272628" w:rsidRDefault="4ABB6A88" w14:paraId="4D52F8B7" w14:textId="77777777">
    <w:pPr>
      <w:pStyle w:val="Footer"/>
      <w:jc w:val="center"/>
      <w:rPr>
        <w:rFonts w:ascii="Arial" w:hAnsi="Arial" w:eastAsia="Arial" w:cs="Arial"/>
        <w:sz w:val="20"/>
      </w:rPr>
    </w:pPr>
    <w:r w:rsidRPr="00272628">
      <w:rPr>
        <w:rFonts w:ascii="Arial" w:hAnsi="Arial" w:eastAsia="Arial" w:cs="Arial"/>
        <w:sz w:val="20"/>
      </w:rPr>
      <w:t>Prenatal exomes</w:t>
    </w:r>
    <w:r w:rsidRPr="00272628" w:rsidR="00272628">
      <w:rPr>
        <w:rFonts w:ascii="Arial" w:hAnsi="Arial" w:eastAsia="Arial" w:cs="Arial"/>
        <w:sz w:val="20"/>
      </w:rPr>
      <w:t xml:space="preserve"> September 2024</w:t>
    </w:r>
    <w:r w:rsidRPr="00272628">
      <w:rPr>
        <w:rFonts w:ascii="Arial" w:hAnsi="Arial" w:eastAsia="Arial" w:cs="Arial"/>
        <w:sz w:val="20"/>
      </w:rPr>
      <w:t xml:space="preserve">                                                        </w:t>
    </w:r>
  </w:p>
  <w:p w:rsidRPr="00272628" w:rsidR="4ABB6A88" w:rsidP="00272628" w:rsidRDefault="4ABB6A88" w14:paraId="67845E15" w14:textId="495B442B">
    <w:pPr>
      <w:pStyle w:val="Footer"/>
      <w:jc w:val="center"/>
      <w:rPr>
        <w:rFonts w:ascii="Arial" w:hAnsi="Arial" w:eastAsia="Arial" w:cs="Arial"/>
        <w:sz w:val="20"/>
      </w:rPr>
    </w:pPr>
    <w:r w:rsidRPr="00272628">
      <w:rPr>
        <w:rFonts w:ascii="Arial" w:hAnsi="Arial" w:eastAsia="Arial" w:cs="Arial"/>
        <w:sz w:val="20"/>
      </w:rPr>
      <w:t xml:space="preserve">Page </w:t>
    </w:r>
    <w:r w:rsidRPr="00272628">
      <w:rPr>
        <w:rFonts w:ascii="Arial" w:hAnsi="Arial" w:eastAsia="Arial" w:cs="Arial"/>
        <w:sz w:val="20"/>
      </w:rPr>
      <w:fldChar w:fldCharType="begin"/>
    </w:r>
    <w:r w:rsidRPr="00272628">
      <w:rPr>
        <w:rFonts w:ascii="Arial" w:hAnsi="Arial" w:cs="Arial"/>
        <w:sz w:val="20"/>
      </w:rPr>
      <w:instrText>PAGE</w:instrText>
    </w:r>
    <w:r w:rsidRPr="00272628">
      <w:rPr>
        <w:rFonts w:ascii="Arial" w:hAnsi="Arial" w:eastAsia="Arial" w:cs="Arial"/>
        <w:sz w:val="20"/>
      </w:rPr>
      <w:fldChar w:fldCharType="separate"/>
    </w:r>
    <w:r w:rsidRPr="00272628" w:rsidR="00F717A4">
      <w:rPr>
        <w:rFonts w:ascii="Arial" w:hAnsi="Arial" w:cs="Arial"/>
        <w:noProof/>
        <w:sz w:val="20"/>
      </w:rPr>
      <w:t>1</w:t>
    </w:r>
    <w:r w:rsidRPr="00272628">
      <w:rPr>
        <w:rFonts w:ascii="Arial" w:hAnsi="Arial" w:cs="Arial"/>
        <w:sz w:val="20"/>
      </w:rPr>
      <w:fldChar w:fldCharType="end"/>
    </w:r>
    <w:r w:rsidRPr="00272628">
      <w:rPr>
        <w:rFonts w:ascii="Arial" w:hAnsi="Arial" w:eastAsia="Arial" w:cs="Arial"/>
        <w:sz w:val="20"/>
      </w:rPr>
      <w:t xml:space="preserve"> of </w:t>
    </w:r>
    <w:r w:rsidRPr="00272628">
      <w:rPr>
        <w:rFonts w:ascii="Arial" w:hAnsi="Arial" w:eastAsia="Arial" w:cs="Arial"/>
        <w:sz w:val="20"/>
      </w:rPr>
      <w:fldChar w:fldCharType="begin"/>
    </w:r>
    <w:r w:rsidRPr="00272628">
      <w:rPr>
        <w:rFonts w:ascii="Arial" w:hAnsi="Arial" w:cs="Arial"/>
        <w:sz w:val="20"/>
      </w:rPr>
      <w:instrText>NUMPAGES</w:instrText>
    </w:r>
    <w:r w:rsidRPr="00272628">
      <w:rPr>
        <w:rFonts w:ascii="Arial" w:hAnsi="Arial" w:eastAsia="Arial" w:cs="Arial"/>
        <w:sz w:val="20"/>
      </w:rPr>
      <w:fldChar w:fldCharType="separate"/>
    </w:r>
    <w:r w:rsidRPr="00272628" w:rsidR="00F717A4">
      <w:rPr>
        <w:rFonts w:ascii="Arial" w:hAnsi="Arial" w:cs="Arial"/>
        <w:noProof/>
        <w:sz w:val="20"/>
      </w:rPr>
      <w:t>1</w:t>
    </w:r>
    <w:r w:rsidRPr="00272628">
      <w:rPr>
        <w:rFonts w:ascii="Arial" w:hAnsi="Arial" w:cs="Arial"/>
        <w:sz w:val="20"/>
      </w:rPr>
      <w:fldChar w:fldCharType="end"/>
    </w:r>
  </w:p>
  <w:p w:rsidR="4ABB6A88" w:rsidP="4ABB6A88" w:rsidRDefault="4ABB6A88" w14:paraId="7EA5AE94" w14:textId="49B86B98">
    <w:pPr>
      <w:pStyle w:val="Header"/>
    </w:pPr>
  </w:p>
  <w:p w:rsidR="000E19F7" w:rsidP="4ABB6A88" w:rsidRDefault="000E19F7" w14:paraId="101D9F71" w14:textId="331A6AC2">
    <w:pPr>
      <w:pStyle w:val="Header"/>
      <w:rPr>
        <w:noProof/>
      </w:rPr>
    </w:pPr>
  </w:p>
  <w:p w:rsidR="000E19F7" w:rsidRDefault="000E19F7" w14:paraId="52D699A9" w14:textId="7E36D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9F7" w:rsidP="000E19F7" w:rsidRDefault="000E19F7" w14:paraId="6D072C0D" w14:textId="77777777">
      <w:pPr>
        <w:spacing w:after="0" w:line="240" w:lineRule="auto"/>
      </w:pPr>
      <w:r>
        <w:separator/>
      </w:r>
    </w:p>
  </w:footnote>
  <w:footnote w:type="continuationSeparator" w:id="0">
    <w:p w:rsidR="000E19F7" w:rsidP="000E19F7" w:rsidRDefault="000E19F7" w14:paraId="48A219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A6DD73" w:rsidTr="4DA6DD73" w14:paraId="4EF8EFA2" w14:textId="77777777">
      <w:trPr>
        <w:trHeight w:val="300"/>
      </w:trPr>
      <w:tc>
        <w:tcPr>
          <w:tcW w:w="3005" w:type="dxa"/>
        </w:tcPr>
        <w:p w:rsidR="4DA6DD73" w:rsidP="4DA6DD73" w:rsidRDefault="4DA6DD73" w14:paraId="17F0724C" w14:textId="373F11DD">
          <w:pPr>
            <w:pStyle w:val="Header"/>
            <w:ind w:left="-115"/>
          </w:pPr>
        </w:p>
      </w:tc>
      <w:tc>
        <w:tcPr>
          <w:tcW w:w="3005" w:type="dxa"/>
        </w:tcPr>
        <w:p w:rsidR="4DA6DD73" w:rsidP="4DA6DD73" w:rsidRDefault="4DA6DD73" w14:paraId="518E4B34" w14:textId="61AFF09F">
          <w:pPr>
            <w:pStyle w:val="Header"/>
            <w:jc w:val="center"/>
          </w:pPr>
        </w:p>
      </w:tc>
      <w:tc>
        <w:tcPr>
          <w:tcW w:w="3005" w:type="dxa"/>
        </w:tcPr>
        <w:p w:rsidR="4DA6DD73" w:rsidP="4DA6DD73" w:rsidRDefault="4DA6DD73" w14:paraId="1EC36B60" w14:textId="61B5AE5F">
          <w:pPr>
            <w:pStyle w:val="Header"/>
            <w:ind w:right="-115"/>
            <w:jc w:val="right"/>
          </w:pPr>
        </w:p>
      </w:tc>
    </w:tr>
  </w:tbl>
  <w:p w:rsidR="4DA6DD73" w:rsidP="4DA6DD73" w:rsidRDefault="4DA6DD73" w14:paraId="18EE7DC9" w14:textId="44A46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30A"/>
    <w:multiLevelType w:val="hybridMultilevel"/>
    <w:tmpl w:val="B9C8D3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B40A5"/>
    <w:multiLevelType w:val="multilevel"/>
    <w:tmpl w:val="783AD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26665DD"/>
    <w:multiLevelType w:val="multilevel"/>
    <w:tmpl w:val="53A40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68043CB"/>
    <w:multiLevelType w:val="hybridMultilevel"/>
    <w:tmpl w:val="D7E04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68F3"/>
    <w:multiLevelType w:val="hybridMultilevel"/>
    <w:tmpl w:val="561E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48DC"/>
    <w:multiLevelType w:val="multilevel"/>
    <w:tmpl w:val="AABEED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72535F4"/>
    <w:multiLevelType w:val="hybridMultilevel"/>
    <w:tmpl w:val="EC9CC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7B51"/>
    <w:multiLevelType w:val="multilevel"/>
    <w:tmpl w:val="465C8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462D774E"/>
    <w:multiLevelType w:val="hybridMultilevel"/>
    <w:tmpl w:val="8C24CEB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4B1A7B17"/>
    <w:multiLevelType w:val="multilevel"/>
    <w:tmpl w:val="EF5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CDC46AB"/>
    <w:multiLevelType w:val="multilevel"/>
    <w:tmpl w:val="A1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BDA0482"/>
    <w:multiLevelType w:val="hybridMultilevel"/>
    <w:tmpl w:val="4C722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987201"/>
    <w:multiLevelType w:val="multilevel"/>
    <w:tmpl w:val="AA8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787D6E"/>
    <w:multiLevelType w:val="hybridMultilevel"/>
    <w:tmpl w:val="42AE7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16363"/>
    <w:multiLevelType w:val="multilevel"/>
    <w:tmpl w:val="465C8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6494430E"/>
    <w:multiLevelType w:val="hybridMultilevel"/>
    <w:tmpl w:val="CAB40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3A29FD"/>
    <w:multiLevelType w:val="hybridMultilevel"/>
    <w:tmpl w:val="8A3A3690"/>
    <w:lvl w:ilvl="0" w:tplc="0809000D">
      <w:start w:val="1"/>
      <w:numFmt w:val="bullet"/>
      <w:lvlText w:val=""/>
      <w:lvlJc w:val="left"/>
      <w:pPr>
        <w:ind w:left="78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087462"/>
    <w:multiLevelType w:val="multilevel"/>
    <w:tmpl w:val="53A40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8DF6DC7"/>
    <w:multiLevelType w:val="multilevel"/>
    <w:tmpl w:val="68004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16"/>
  </w:num>
  <w:num w:numId="7">
    <w:abstractNumId w:val="3"/>
  </w:num>
  <w:num w:numId="8">
    <w:abstractNumId w:val="1"/>
  </w:num>
  <w:num w:numId="9">
    <w:abstractNumId w:val="14"/>
  </w:num>
  <w:num w:numId="10">
    <w:abstractNumId w:val="18"/>
  </w:num>
  <w:num w:numId="11">
    <w:abstractNumId w:val="5"/>
  </w:num>
  <w:num w:numId="12">
    <w:abstractNumId w:val="0"/>
  </w:num>
  <w:num w:numId="13">
    <w:abstractNumId w:val="15"/>
  </w:num>
  <w:num w:numId="14">
    <w:abstractNumId w:val="7"/>
  </w:num>
  <w:num w:numId="15">
    <w:abstractNumId w:val="13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7"/>
    <w:rsid w:val="00054DCF"/>
    <w:rsid w:val="0008CC7E"/>
    <w:rsid w:val="00097941"/>
    <w:rsid w:val="000C1B28"/>
    <w:rsid w:val="000E19F7"/>
    <w:rsid w:val="00185B34"/>
    <w:rsid w:val="00193A4D"/>
    <w:rsid w:val="001C0696"/>
    <w:rsid w:val="001C3A86"/>
    <w:rsid w:val="0026440F"/>
    <w:rsid w:val="00272628"/>
    <w:rsid w:val="002A76B8"/>
    <w:rsid w:val="003118FD"/>
    <w:rsid w:val="003B628B"/>
    <w:rsid w:val="004767CB"/>
    <w:rsid w:val="00485BDD"/>
    <w:rsid w:val="00492D76"/>
    <w:rsid w:val="0049456C"/>
    <w:rsid w:val="004F4EE1"/>
    <w:rsid w:val="005227AC"/>
    <w:rsid w:val="00563093"/>
    <w:rsid w:val="005F1CBD"/>
    <w:rsid w:val="00604335"/>
    <w:rsid w:val="00607FA0"/>
    <w:rsid w:val="006126E2"/>
    <w:rsid w:val="00641766"/>
    <w:rsid w:val="006821E8"/>
    <w:rsid w:val="00760F20"/>
    <w:rsid w:val="0077347E"/>
    <w:rsid w:val="007773A7"/>
    <w:rsid w:val="007F0846"/>
    <w:rsid w:val="008B333F"/>
    <w:rsid w:val="0093329C"/>
    <w:rsid w:val="009A0F08"/>
    <w:rsid w:val="009B5887"/>
    <w:rsid w:val="009F2CDA"/>
    <w:rsid w:val="009F5A53"/>
    <w:rsid w:val="00A30CB5"/>
    <w:rsid w:val="00A3240C"/>
    <w:rsid w:val="00AF0CAD"/>
    <w:rsid w:val="00C17651"/>
    <w:rsid w:val="00C25E45"/>
    <w:rsid w:val="00CA6B6B"/>
    <w:rsid w:val="00CB3DAB"/>
    <w:rsid w:val="00CB4071"/>
    <w:rsid w:val="00CC481D"/>
    <w:rsid w:val="00CE42BF"/>
    <w:rsid w:val="00DC1CC6"/>
    <w:rsid w:val="00E13523"/>
    <w:rsid w:val="00E13AD1"/>
    <w:rsid w:val="00E26646"/>
    <w:rsid w:val="00E552DD"/>
    <w:rsid w:val="00F43A65"/>
    <w:rsid w:val="00F717A4"/>
    <w:rsid w:val="015BD635"/>
    <w:rsid w:val="01D64571"/>
    <w:rsid w:val="021DCCEB"/>
    <w:rsid w:val="02A1D05F"/>
    <w:rsid w:val="02E990CD"/>
    <w:rsid w:val="0317A889"/>
    <w:rsid w:val="03B349E4"/>
    <w:rsid w:val="03FF6B6A"/>
    <w:rsid w:val="0476A3C2"/>
    <w:rsid w:val="051EAE39"/>
    <w:rsid w:val="0573A459"/>
    <w:rsid w:val="057B0027"/>
    <w:rsid w:val="0648A98C"/>
    <w:rsid w:val="065C4D88"/>
    <w:rsid w:val="06A5D703"/>
    <w:rsid w:val="06B8EB74"/>
    <w:rsid w:val="081023CB"/>
    <w:rsid w:val="081C107F"/>
    <w:rsid w:val="08A49173"/>
    <w:rsid w:val="08AC3C49"/>
    <w:rsid w:val="0903D231"/>
    <w:rsid w:val="0A03DD0B"/>
    <w:rsid w:val="0ABFE4C9"/>
    <w:rsid w:val="0B7DEE97"/>
    <w:rsid w:val="0BDE6763"/>
    <w:rsid w:val="0CF0BB79"/>
    <w:rsid w:val="0DB5614B"/>
    <w:rsid w:val="0E30F512"/>
    <w:rsid w:val="0E753C93"/>
    <w:rsid w:val="0F2D11B3"/>
    <w:rsid w:val="0F5A053A"/>
    <w:rsid w:val="106B228A"/>
    <w:rsid w:val="10D706FE"/>
    <w:rsid w:val="1122094B"/>
    <w:rsid w:val="1125AB04"/>
    <w:rsid w:val="118143FD"/>
    <w:rsid w:val="13045ABC"/>
    <w:rsid w:val="13365F70"/>
    <w:rsid w:val="1350FF36"/>
    <w:rsid w:val="13AC958B"/>
    <w:rsid w:val="14D9914A"/>
    <w:rsid w:val="15B4C57F"/>
    <w:rsid w:val="16330E00"/>
    <w:rsid w:val="168F628E"/>
    <w:rsid w:val="1733E219"/>
    <w:rsid w:val="17DF91D2"/>
    <w:rsid w:val="182C4B51"/>
    <w:rsid w:val="185EF7AC"/>
    <w:rsid w:val="18AA9A02"/>
    <w:rsid w:val="18DDBEBA"/>
    <w:rsid w:val="19482FF3"/>
    <w:rsid w:val="1950C71B"/>
    <w:rsid w:val="1982FA4C"/>
    <w:rsid w:val="1A1B437F"/>
    <w:rsid w:val="1A2A9A3F"/>
    <w:rsid w:val="1B44B002"/>
    <w:rsid w:val="1B77A545"/>
    <w:rsid w:val="1CD5965E"/>
    <w:rsid w:val="1CE117B6"/>
    <w:rsid w:val="1D72A717"/>
    <w:rsid w:val="1D907EBA"/>
    <w:rsid w:val="1DCE4CFC"/>
    <w:rsid w:val="1DD4AE6B"/>
    <w:rsid w:val="1E078704"/>
    <w:rsid w:val="1E40AE09"/>
    <w:rsid w:val="1E4C7A9C"/>
    <w:rsid w:val="1E97FC57"/>
    <w:rsid w:val="1FC504CB"/>
    <w:rsid w:val="1FF8F52C"/>
    <w:rsid w:val="20187A61"/>
    <w:rsid w:val="204B0799"/>
    <w:rsid w:val="20780DDE"/>
    <w:rsid w:val="20DE0315"/>
    <w:rsid w:val="217B85CB"/>
    <w:rsid w:val="21A82B3D"/>
    <w:rsid w:val="21CDEF10"/>
    <w:rsid w:val="22620B0D"/>
    <w:rsid w:val="22877EC7"/>
    <w:rsid w:val="22F79F40"/>
    <w:rsid w:val="2309DD58"/>
    <w:rsid w:val="23E3993A"/>
    <w:rsid w:val="2484B30D"/>
    <w:rsid w:val="249FBD8A"/>
    <w:rsid w:val="2548321D"/>
    <w:rsid w:val="25648F37"/>
    <w:rsid w:val="25A6D893"/>
    <w:rsid w:val="261EEE3C"/>
    <w:rsid w:val="2629C3E2"/>
    <w:rsid w:val="26A76D40"/>
    <w:rsid w:val="27CA92EA"/>
    <w:rsid w:val="282CB867"/>
    <w:rsid w:val="28B2BF96"/>
    <w:rsid w:val="292482D9"/>
    <w:rsid w:val="2925094B"/>
    <w:rsid w:val="294CF037"/>
    <w:rsid w:val="29990800"/>
    <w:rsid w:val="29F3B0CA"/>
    <w:rsid w:val="2B377776"/>
    <w:rsid w:val="2BD89F47"/>
    <w:rsid w:val="2BE4E3EB"/>
    <w:rsid w:val="2D14F584"/>
    <w:rsid w:val="2D8CD5E3"/>
    <w:rsid w:val="2E5E3BD2"/>
    <w:rsid w:val="2EF7416E"/>
    <w:rsid w:val="2F21DD45"/>
    <w:rsid w:val="2F3B3F30"/>
    <w:rsid w:val="2F3FDF11"/>
    <w:rsid w:val="314B9968"/>
    <w:rsid w:val="31BFDC1D"/>
    <w:rsid w:val="31EC2256"/>
    <w:rsid w:val="32CC186D"/>
    <w:rsid w:val="331E51BF"/>
    <w:rsid w:val="3339227F"/>
    <w:rsid w:val="33488FD0"/>
    <w:rsid w:val="338F94D3"/>
    <w:rsid w:val="341293EA"/>
    <w:rsid w:val="3448E78A"/>
    <w:rsid w:val="344DC6FC"/>
    <w:rsid w:val="349F7164"/>
    <w:rsid w:val="34C05B72"/>
    <w:rsid w:val="34F27B42"/>
    <w:rsid w:val="35321427"/>
    <w:rsid w:val="3583B18C"/>
    <w:rsid w:val="36064F55"/>
    <w:rsid w:val="3696D3FB"/>
    <w:rsid w:val="36CDA8ED"/>
    <w:rsid w:val="36F5184D"/>
    <w:rsid w:val="3836A9A1"/>
    <w:rsid w:val="385B3394"/>
    <w:rsid w:val="387CCE4A"/>
    <w:rsid w:val="3918E9B2"/>
    <w:rsid w:val="3AF7DE2B"/>
    <w:rsid w:val="3B6C1028"/>
    <w:rsid w:val="3B8727AC"/>
    <w:rsid w:val="3B8D6D7E"/>
    <w:rsid w:val="3C452E87"/>
    <w:rsid w:val="3C721EA7"/>
    <w:rsid w:val="3CBD4D89"/>
    <w:rsid w:val="3CE415CD"/>
    <w:rsid w:val="3D2475B6"/>
    <w:rsid w:val="3D3F9400"/>
    <w:rsid w:val="3D4B7A33"/>
    <w:rsid w:val="3E9D491A"/>
    <w:rsid w:val="3EA810FF"/>
    <w:rsid w:val="3EDE1819"/>
    <w:rsid w:val="3F02B71F"/>
    <w:rsid w:val="3F0EC164"/>
    <w:rsid w:val="3F3C2C98"/>
    <w:rsid w:val="3F7E0402"/>
    <w:rsid w:val="3FB02321"/>
    <w:rsid w:val="407B84F6"/>
    <w:rsid w:val="407EF35D"/>
    <w:rsid w:val="40C11144"/>
    <w:rsid w:val="41A8B4B1"/>
    <w:rsid w:val="4247FE2B"/>
    <w:rsid w:val="4294A933"/>
    <w:rsid w:val="42DA02F7"/>
    <w:rsid w:val="42F0256E"/>
    <w:rsid w:val="439CFE8E"/>
    <w:rsid w:val="43B94F51"/>
    <w:rsid w:val="43DF09F1"/>
    <w:rsid w:val="43EA98E9"/>
    <w:rsid w:val="4407C780"/>
    <w:rsid w:val="440D0AEF"/>
    <w:rsid w:val="44113088"/>
    <w:rsid w:val="44DE407C"/>
    <w:rsid w:val="450D1883"/>
    <w:rsid w:val="450F5012"/>
    <w:rsid w:val="453C299C"/>
    <w:rsid w:val="4561B462"/>
    <w:rsid w:val="45CF4AC8"/>
    <w:rsid w:val="468F3147"/>
    <w:rsid w:val="47FC2BBD"/>
    <w:rsid w:val="491026D8"/>
    <w:rsid w:val="492F1F8E"/>
    <w:rsid w:val="492F1F8E"/>
    <w:rsid w:val="49DF43C1"/>
    <w:rsid w:val="49EEE681"/>
    <w:rsid w:val="4A8641DE"/>
    <w:rsid w:val="4ABB6A88"/>
    <w:rsid w:val="4AD63835"/>
    <w:rsid w:val="4B3F8854"/>
    <w:rsid w:val="4BD1A906"/>
    <w:rsid w:val="4C2182DE"/>
    <w:rsid w:val="4D48470E"/>
    <w:rsid w:val="4DA6DD73"/>
    <w:rsid w:val="4DE84FC1"/>
    <w:rsid w:val="4DEBC9A5"/>
    <w:rsid w:val="4E20DAAB"/>
    <w:rsid w:val="4E38AB9E"/>
    <w:rsid w:val="4E8CD23A"/>
    <w:rsid w:val="4E8D0F37"/>
    <w:rsid w:val="4EAA3EB9"/>
    <w:rsid w:val="4F70D73C"/>
    <w:rsid w:val="4F7E0688"/>
    <w:rsid w:val="4F8461BD"/>
    <w:rsid w:val="4FB008CA"/>
    <w:rsid w:val="4FECB602"/>
    <w:rsid w:val="4FFE1164"/>
    <w:rsid w:val="5006A94E"/>
    <w:rsid w:val="501C73F9"/>
    <w:rsid w:val="503F5B80"/>
    <w:rsid w:val="50AC8933"/>
    <w:rsid w:val="5175C18F"/>
    <w:rsid w:val="518A86B1"/>
    <w:rsid w:val="51B9AC1D"/>
    <w:rsid w:val="532EFC62"/>
    <w:rsid w:val="533114CD"/>
    <w:rsid w:val="53E8C400"/>
    <w:rsid w:val="53F9A426"/>
    <w:rsid w:val="553F4C8D"/>
    <w:rsid w:val="55B9B997"/>
    <w:rsid w:val="56159179"/>
    <w:rsid w:val="56705DB3"/>
    <w:rsid w:val="56D23AA6"/>
    <w:rsid w:val="56DA4C7D"/>
    <w:rsid w:val="5708B128"/>
    <w:rsid w:val="574770D3"/>
    <w:rsid w:val="5751EC7A"/>
    <w:rsid w:val="58A4DE79"/>
    <w:rsid w:val="59170A43"/>
    <w:rsid w:val="591E27DD"/>
    <w:rsid w:val="5A36F424"/>
    <w:rsid w:val="5A9EBC00"/>
    <w:rsid w:val="5B243345"/>
    <w:rsid w:val="5B68617D"/>
    <w:rsid w:val="5C75467E"/>
    <w:rsid w:val="5C8B56F1"/>
    <w:rsid w:val="5CFA3C04"/>
    <w:rsid w:val="5D0F277A"/>
    <w:rsid w:val="5D190D9A"/>
    <w:rsid w:val="5F1F2319"/>
    <w:rsid w:val="5F1F28BD"/>
    <w:rsid w:val="5F437D6A"/>
    <w:rsid w:val="5F8DB3A4"/>
    <w:rsid w:val="5F964F84"/>
    <w:rsid w:val="6038F523"/>
    <w:rsid w:val="603EC606"/>
    <w:rsid w:val="605CAF3A"/>
    <w:rsid w:val="6075ACBF"/>
    <w:rsid w:val="60B966AC"/>
    <w:rsid w:val="60FBDEDD"/>
    <w:rsid w:val="61141D14"/>
    <w:rsid w:val="613EF649"/>
    <w:rsid w:val="617A311B"/>
    <w:rsid w:val="61BF777F"/>
    <w:rsid w:val="633C6344"/>
    <w:rsid w:val="635D5209"/>
    <w:rsid w:val="636C96C1"/>
    <w:rsid w:val="63785342"/>
    <w:rsid w:val="63D0859E"/>
    <w:rsid w:val="648548E9"/>
    <w:rsid w:val="64C3F857"/>
    <w:rsid w:val="66176811"/>
    <w:rsid w:val="66418A0F"/>
    <w:rsid w:val="669222A3"/>
    <w:rsid w:val="66C45A53"/>
    <w:rsid w:val="6725F0D9"/>
    <w:rsid w:val="68343D76"/>
    <w:rsid w:val="688EA036"/>
    <w:rsid w:val="68EE68D2"/>
    <w:rsid w:val="6924939D"/>
    <w:rsid w:val="6925CF97"/>
    <w:rsid w:val="693A2170"/>
    <w:rsid w:val="699E8661"/>
    <w:rsid w:val="6A158A58"/>
    <w:rsid w:val="6BFD825D"/>
    <w:rsid w:val="6CF4E60E"/>
    <w:rsid w:val="6D14B903"/>
    <w:rsid w:val="6D232C95"/>
    <w:rsid w:val="6D40D14B"/>
    <w:rsid w:val="6EF52CC2"/>
    <w:rsid w:val="6F68E8AD"/>
    <w:rsid w:val="6FC7398F"/>
    <w:rsid w:val="7004F583"/>
    <w:rsid w:val="7027B170"/>
    <w:rsid w:val="704C13A1"/>
    <w:rsid w:val="70DFCB97"/>
    <w:rsid w:val="71293E37"/>
    <w:rsid w:val="717BD5E4"/>
    <w:rsid w:val="717D71BE"/>
    <w:rsid w:val="7189F40D"/>
    <w:rsid w:val="719E80D4"/>
    <w:rsid w:val="71C462B9"/>
    <w:rsid w:val="722A567A"/>
    <w:rsid w:val="722F3028"/>
    <w:rsid w:val="72511E91"/>
    <w:rsid w:val="7269BC12"/>
    <w:rsid w:val="72BEED7D"/>
    <w:rsid w:val="72CA9303"/>
    <w:rsid w:val="7307A389"/>
    <w:rsid w:val="7309DC8B"/>
    <w:rsid w:val="73748C4E"/>
    <w:rsid w:val="7389F3F0"/>
    <w:rsid w:val="73BDB2D5"/>
    <w:rsid w:val="74EEF635"/>
    <w:rsid w:val="752844F3"/>
    <w:rsid w:val="757E894F"/>
    <w:rsid w:val="771BA22F"/>
    <w:rsid w:val="7773E8A6"/>
    <w:rsid w:val="77C946EF"/>
    <w:rsid w:val="7805632F"/>
    <w:rsid w:val="78DB11A2"/>
    <w:rsid w:val="7947E05C"/>
    <w:rsid w:val="798985EB"/>
    <w:rsid w:val="79BBDD1E"/>
    <w:rsid w:val="7A04AFF9"/>
    <w:rsid w:val="7A66762B"/>
    <w:rsid w:val="7AB87AE0"/>
    <w:rsid w:val="7C5D2B9F"/>
    <w:rsid w:val="7C617A24"/>
    <w:rsid w:val="7C8034E7"/>
    <w:rsid w:val="7CFCD1DC"/>
    <w:rsid w:val="7D3493BF"/>
    <w:rsid w:val="7DA6B948"/>
    <w:rsid w:val="7DC71FE2"/>
    <w:rsid w:val="7DE0A247"/>
    <w:rsid w:val="7E2A2F0D"/>
    <w:rsid w:val="7E6CA044"/>
    <w:rsid w:val="7E97F9F1"/>
    <w:rsid w:val="7EAA9E89"/>
    <w:rsid w:val="7EF8B63E"/>
    <w:rsid w:val="7F046B3B"/>
    <w:rsid w:val="7F25344C"/>
    <w:rsid w:val="7F92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C25D"/>
  <w15:chartTrackingRefBased/>
  <w15:docId w15:val="{EC5B1DD8-105B-42D6-9CE8-ABDEBA6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4DA6DD73"/>
    <w:pPr>
      <w:spacing w:line="276" w:lineRule="auto"/>
      <w:outlineLvl w:val="0"/>
    </w:pPr>
    <w:rPr>
      <w:rFonts w:eastAsiaTheme="minorEastAsia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4ABB6A88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hAnsiTheme="majorHAnsi" w:eastAsiaTheme="majorEastAsia" w:cstheme="majorBidi"/>
      <w:b w:val="0"/>
      <w:bCs w:val="0"/>
    </w:rPr>
  </w:style>
  <w:style w:type="paragraph" w:styleId="Heading3">
    <w:name w:val="heading 3"/>
    <w:basedOn w:val="Normal"/>
    <w:link w:val="Heading3Char"/>
    <w:uiPriority w:val="9"/>
    <w:qFormat/>
    <w:rsid w:val="00A30CB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9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19F7"/>
  </w:style>
  <w:style w:type="paragraph" w:styleId="Footer">
    <w:name w:val="footer"/>
    <w:basedOn w:val="Normal"/>
    <w:link w:val="FooterChar"/>
    <w:uiPriority w:val="99"/>
    <w:unhideWhenUsed/>
    <w:rsid w:val="000E19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19F7"/>
  </w:style>
  <w:style w:type="character" w:styleId="Heading3Char" w:customStyle="1">
    <w:name w:val="Heading 3 Char"/>
    <w:basedOn w:val="DefaultParagraphFont"/>
    <w:link w:val="Heading3"/>
    <w:uiPriority w:val="9"/>
    <w:rsid w:val="00A30CB5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612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6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0F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0F2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4DA6DD73"/>
    <w:rPr>
      <w:rFonts w:asciiTheme="minorHAnsi" w:hAnsiTheme="minorHAnsi" w:eastAsiaTheme="minorEastAsia" w:cstheme="minorBidi"/>
      <w:b/>
      <w:bCs/>
      <w:color w:val="2F5496" w:themeColor="accent1" w:themeShade="BF"/>
      <w:sz w:val="28"/>
      <w:szCs w:val="28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4DA6DD73"/>
    <w:pPr>
      <w:keepNext/>
      <w:keepLines/>
      <w:spacing w:before="240" w:after="0"/>
    </w:pPr>
    <w:rPr>
      <w:rFonts w:asciiTheme="majorHAnsi" w:hAnsiTheme="majorHAnsi" w:eastAsiaTheme="majorEastAsia" w:cstheme="majorBidi"/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C069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C0696"/>
    <w:pPr>
      <w:spacing w:after="100"/>
      <w:ind w:left="440"/>
    </w:pPr>
  </w:style>
  <w:style w:type="table" w:styleId="TableGrid">
    <w:name w:val="Table Grid"/>
    <w:basedOn w:val="TableNormal"/>
    <w:uiPriority w:val="39"/>
    <w:rsid w:val="001C3A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7651"/>
    <w:rPr>
      <w:color w:val="954F72" w:themeColor="followedHyperlink"/>
      <w:u w:val="single"/>
    </w:rPr>
  </w:style>
  <w:style w:type="character" w:styleId="Heading2Char" w:customStyle="1">
    <w:name w:val="Heading 2 Char"/>
    <w:link w:val="Heading2"/>
    <w:uiPriority w:val="9"/>
    <w:rsid w:val="4ABB6A88"/>
    <w:rPr>
      <w:rFonts w:asciiTheme="majorHAnsi" w:hAnsiTheme="majorHAnsi" w:eastAsiaTheme="majorEastAsia" w:cstheme="majorBidi"/>
      <w:b w:val="0"/>
      <w:bCs w:val="0"/>
      <w:lang w:val="en-GB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urriculumlibrary.nshcs.org.uk/stp/module/S-G-S2/" TargetMode="External" Id="rId8" /><Relationship Type="http://schemas.openxmlformats.org/officeDocument/2006/relationships/hyperlink" Target="https://www.futurelearn.com/courses/interpreting-genomic-variation-inherited-cancer-susceptibility" TargetMode="External" Id="rId13" /><Relationship Type="http://schemas.openxmlformats.org/officeDocument/2006/relationships/image" Target="media/image3.png" Id="rId18" /><Relationship Type="http://schemas.openxmlformats.org/officeDocument/2006/relationships/styles" Target="styles.xml" Id="rId3" /><Relationship Type="http://schemas.openxmlformats.org/officeDocument/2006/relationships/hyperlink" Target="https://gnomad.broadinstitute.org/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www.futurelearn.com/courses/interpreting-genomic-variation-fundamental-principles" TargetMode="External" Id="rId12" /><Relationship Type="http://schemas.openxmlformats.org/officeDocument/2006/relationships/image" Target="media/image2.png" Id="rId17" /><Relationship Type="http://schemas.openxmlformats.org/officeDocument/2006/relationships/numbering" Target="numbering.xml" Id="rId2" /><Relationship Type="http://schemas.openxmlformats.org/officeDocument/2006/relationships/hyperlink" Target="https://www.omim.org/" TargetMode="External" Id="rId16" /><Relationship Type="http://schemas.openxmlformats.org/officeDocument/2006/relationships/image" Target="media/image4.png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enomicseducation.hee.nhs.uk/genotes/knowledge-hub/whole-exome-sequencing/" TargetMode="External" Id="rId11" /><Relationship Type="http://schemas.openxmlformats.org/officeDocument/2006/relationships/image" Target="media/image6.png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image" Target="media/image1.png" Id="rId15" /><Relationship Type="http://schemas.openxmlformats.org/officeDocument/2006/relationships/hyperlink" Target="https://apps.ingenuity.com/ingsso/login" TargetMode="External" Id="rId23" /><Relationship Type="http://schemas.openxmlformats.org/officeDocument/2006/relationships/hyperlink" Target="https://www.ncbi.nlm.nih.gov/books/NBK1116/" TargetMode="External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hyperlink" Target="https://www.genomicseducation.hee.nhs.uk/genotes/knowledge-hub/r21-rapid-prenatal-exome-sequencing/" TargetMode="External" Id="rId9" /><Relationship Type="http://schemas.openxmlformats.org/officeDocument/2006/relationships/image" Target="media/image5.png" Id="rId22" /><Relationship Type="http://schemas.openxmlformats.org/officeDocument/2006/relationships/footer" Target="footer1.xml" Id="rId30" /><Relationship Type="http://schemas.openxmlformats.org/officeDocument/2006/relationships/hyperlink" Target="https://www.genomicseducation.hee.nhs.uk/blog/prenatal-genomics-an-overview/" TargetMode="External" Id="Rebac6034096c4cf2" /><Relationship Type="http://schemas.openxmlformats.org/officeDocument/2006/relationships/hyperlink" Target="https://www.acgs.uk.com/media/12533/uk-practice-guidelines-for-variant-classification-v12-2024.pdf" TargetMode="External" Id="R41e7f9c544a64963" /><Relationship Type="http://schemas.openxmlformats.org/officeDocument/2006/relationships/hyperlink" Target="https://spliceailookup.broadinstitute.org/" TargetMode="External" Id="R14bb5cc761e944e5" /><Relationship Type="http://schemas.openxmlformats.org/officeDocument/2006/relationships/hyperlink" Target="https://sites.google.com/site/revelgenomics/downloads" TargetMode="External" Id="Rfb05b78c70b34d03" /><Relationship Type="http://schemas.openxmlformats.org/officeDocument/2006/relationships/hyperlink" Target="https://apps.ingenuity.com/ingsso/login" TargetMode="External" Id="R7ef41f587ded49b1" /><Relationship Type="http://schemas.openxmlformats.org/officeDocument/2006/relationships/hyperlink" Target="https://www.ncbi.nlm.nih.gov/clinvar/intro/" TargetMode="External" Id="Rf15e1f51ce89430d" /><Relationship Type="http://schemas.openxmlformats.org/officeDocument/2006/relationships/hyperlink" Target="https://www.ncbi.nlm.nih.gov/pubmed" TargetMode="External" Id="R46cb6324415e4fb1" /><Relationship Type="http://schemas.openxmlformats.org/officeDocument/2006/relationships/hyperlink" Target="https://www.deciphergenomics.org/" TargetMode="External" Id="Rfdb8dbeb7ec84c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E7A2-E8BE-4569-9EA0-F0BCECEBE3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Guy's and St. Thomas'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Baptista</dc:creator>
  <keywords/>
  <dc:description/>
  <lastModifiedBy>BAPTISTA, Julia (SYNNOVIS LLP)</lastModifiedBy>
  <revision>15</revision>
  <dcterms:created xsi:type="dcterms:W3CDTF">2024-06-06T14:45:00.0000000Z</dcterms:created>
  <dcterms:modified xsi:type="dcterms:W3CDTF">2024-08-28T18:52:37.1326356Z</dcterms:modified>
</coreProperties>
</file>